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93AB17">
      <w:pPr>
        <w:pStyle w:val="4"/>
        <w:spacing w:line="360" w:lineRule="auto"/>
        <w:ind w:firstLine="723" w:firstLineChars="200"/>
        <w:jc w:val="center"/>
        <w:rPr>
          <w:rFonts w:ascii="仿宋_GB2312" w:hAnsi="宋体" w:eastAsia="仿宋_GB2312" w:cs="宋体"/>
          <w:b/>
          <w:color w:val="auto"/>
          <w:sz w:val="36"/>
          <w:szCs w:val="36"/>
        </w:rPr>
      </w:pPr>
      <w:r>
        <w:rPr>
          <w:rFonts w:hint="eastAsia" w:ascii="仿宋_GB2312" w:hAnsi="宋体" w:eastAsia="仿宋_GB2312" w:cs="宋体"/>
          <w:b/>
          <w:color w:val="auto"/>
          <w:sz w:val="36"/>
          <w:szCs w:val="36"/>
        </w:rPr>
        <w:t>广州市第十二人民医院（黄埔新院区）</w:t>
      </w:r>
    </w:p>
    <w:p w14:paraId="0AA1B73F">
      <w:pPr>
        <w:pStyle w:val="4"/>
        <w:spacing w:line="360" w:lineRule="auto"/>
        <w:ind w:firstLine="723" w:firstLineChars="200"/>
        <w:jc w:val="center"/>
        <w:rPr>
          <w:rFonts w:ascii="仿宋_GB2312" w:hAnsi="宋体" w:eastAsia="仿宋_GB2312" w:cs="宋体"/>
          <w:color w:val="auto"/>
          <w:sz w:val="24"/>
        </w:rPr>
      </w:pPr>
      <w:r>
        <w:rPr>
          <w:rFonts w:hint="eastAsia" w:ascii="仿宋_GB2312" w:hAnsi="宋体" w:eastAsia="仿宋_GB2312" w:cs="宋体"/>
          <w:b/>
          <w:color w:val="auto"/>
          <w:sz w:val="36"/>
          <w:szCs w:val="36"/>
        </w:rPr>
        <w:t>负一楼门禁及呼梯控制项目采购需求</w:t>
      </w:r>
    </w:p>
    <w:p w14:paraId="43781395">
      <w:pPr>
        <w:pStyle w:val="4"/>
        <w:spacing w:line="360" w:lineRule="auto"/>
        <w:ind w:firstLine="482" w:firstLineChars="200"/>
        <w:rPr>
          <w:rFonts w:ascii="仿宋_GB2312" w:hAnsi="宋体" w:eastAsia="仿宋_GB2312" w:cs="宋体"/>
          <w:b/>
          <w:color w:val="auto"/>
          <w:sz w:val="24"/>
        </w:rPr>
      </w:pPr>
    </w:p>
    <w:p w14:paraId="5ECF04B2">
      <w:pPr>
        <w:pStyle w:val="4"/>
        <w:spacing w:line="360" w:lineRule="auto"/>
        <w:jc w:val="center"/>
        <w:rPr>
          <w:rFonts w:ascii="仿宋_GB2312" w:hAnsi="宋体" w:eastAsia="仿宋_GB2312" w:cs="宋体"/>
          <w:b/>
          <w:color w:val="auto"/>
          <w:sz w:val="30"/>
          <w:szCs w:val="30"/>
        </w:rPr>
      </w:pPr>
      <w:r>
        <w:rPr>
          <w:rFonts w:hint="eastAsia" w:ascii="仿宋_GB2312" w:hAnsi="宋体" w:eastAsia="仿宋_GB2312" w:cs="宋体"/>
          <w:b/>
          <w:color w:val="auto"/>
          <w:sz w:val="30"/>
          <w:szCs w:val="30"/>
        </w:rPr>
        <w:t>第一章  项目需求</w:t>
      </w:r>
    </w:p>
    <w:p w14:paraId="357B7002">
      <w:pPr>
        <w:pStyle w:val="5"/>
        <w:spacing w:line="360" w:lineRule="auto"/>
        <w:ind w:firstLine="562"/>
        <w:rPr>
          <w:rFonts w:hAnsi="宋体"/>
          <w:b/>
          <w:color w:val="auto"/>
          <w:sz w:val="28"/>
          <w:szCs w:val="28"/>
        </w:rPr>
      </w:pPr>
      <w:r>
        <w:rPr>
          <w:rFonts w:hint="eastAsia" w:hAnsi="宋体"/>
          <w:b/>
          <w:color w:val="auto"/>
          <w:sz w:val="28"/>
          <w:szCs w:val="28"/>
        </w:rPr>
        <w:t>一、采购项目内容</w:t>
      </w:r>
    </w:p>
    <w:p w14:paraId="49252EEF">
      <w:pPr>
        <w:pStyle w:val="4"/>
        <w:spacing w:line="360" w:lineRule="auto"/>
        <w:ind w:firstLine="480" w:firstLineChars="200"/>
        <w:rPr>
          <w:rFonts w:ascii="仿宋_GB2312" w:hAnsi="宋体" w:eastAsia="仿宋_GB2312" w:cs="宋体"/>
          <w:color w:val="auto"/>
          <w:sz w:val="24"/>
        </w:rPr>
      </w:pPr>
      <w:r>
        <w:rPr>
          <w:rFonts w:hint="eastAsia" w:ascii="仿宋_GB2312" w:hAnsi="宋体" w:eastAsia="仿宋_GB2312" w:cs="宋体"/>
          <w:color w:val="auto"/>
          <w:sz w:val="24"/>
        </w:rPr>
        <w:t>本项目位于广州市黄埔区（南岗街道）丹水坑路123号广州市第十二人民医院内。项目建设内容主要是针对地下负一层车库电梯及走火通道门进入医院院区进行综合门禁管理系统的设计和实施。负一层共</w:t>
      </w:r>
      <w:r>
        <w:rPr>
          <w:rFonts w:ascii="仿宋_GB2312" w:hAnsi="宋体" w:eastAsia="仿宋_GB2312" w:cs="宋体"/>
          <w:color w:val="auto"/>
          <w:sz w:val="24"/>
        </w:rPr>
        <w:t>20个防火门及27</w:t>
      </w:r>
      <w:r>
        <w:rPr>
          <w:rFonts w:hint="eastAsia" w:ascii="仿宋_GB2312" w:hAnsi="宋体" w:eastAsia="仿宋_GB2312" w:cs="宋体"/>
          <w:color w:val="auto"/>
          <w:sz w:val="24"/>
        </w:rPr>
        <w:t>部电梯需刷卡控制。设计</w:t>
      </w:r>
      <w:r>
        <w:rPr>
          <w:rFonts w:hint="eastAsia" w:ascii="仿宋_GB2312" w:hAnsi="宋体" w:eastAsia="仿宋_GB2312" w:cs="宋体"/>
          <w:color w:val="auto"/>
          <w:sz w:val="24"/>
          <w:lang w:eastAsia="zh-CN"/>
        </w:rPr>
        <w:t>实施</w:t>
      </w:r>
      <w:r>
        <w:rPr>
          <w:rFonts w:hint="eastAsia" w:ascii="仿宋_GB2312" w:hAnsi="宋体" w:eastAsia="仿宋_GB2312" w:cs="宋体"/>
          <w:color w:val="auto"/>
          <w:sz w:val="24"/>
        </w:rPr>
        <w:t>方案需遵循兼容现有门禁管理系统、技术先进、功能齐全、性能稳定标准设计、方便管理、节约成本的原则。并综合考虑</w:t>
      </w:r>
      <w:r>
        <w:rPr>
          <w:rFonts w:hint="eastAsia" w:ascii="仿宋_GB2312" w:hAnsi="宋体" w:eastAsia="仿宋_GB2312" w:cs="宋体"/>
          <w:color w:val="auto"/>
          <w:sz w:val="24"/>
          <w:lang w:eastAsia="zh-CN"/>
        </w:rPr>
        <w:t>实施</w:t>
      </w:r>
      <w:r>
        <w:rPr>
          <w:rFonts w:hint="eastAsia" w:ascii="仿宋_GB2312" w:hAnsi="宋体" w:eastAsia="仿宋_GB2312" w:cs="宋体"/>
          <w:color w:val="auto"/>
          <w:sz w:val="24"/>
        </w:rPr>
        <w:t>、维护及操作因素，并将为今后的发展、扩建、改造等因素留有扩充的余地。此次门禁系统采购采用一揽子全包原则，由中标方负责我院负一楼门禁点的设计安装。</w:t>
      </w:r>
    </w:p>
    <w:p w14:paraId="430926BE">
      <w:pPr>
        <w:pStyle w:val="5"/>
        <w:spacing w:line="360" w:lineRule="auto"/>
        <w:ind w:firstLine="562"/>
        <w:rPr>
          <w:rFonts w:hAnsi="宋体"/>
          <w:b/>
          <w:color w:val="auto"/>
          <w:sz w:val="28"/>
          <w:szCs w:val="28"/>
        </w:rPr>
      </w:pPr>
      <w:r>
        <w:rPr>
          <w:rFonts w:hint="eastAsia" w:hAnsi="宋体"/>
          <w:b/>
          <w:color w:val="auto"/>
          <w:sz w:val="28"/>
          <w:szCs w:val="28"/>
        </w:rPr>
        <w:t>二、本项目设最高限价：人民币</w:t>
      </w:r>
      <w:r>
        <w:rPr>
          <w:rFonts w:hint="eastAsia" w:hAnsi="宋体"/>
          <w:b/>
          <w:color w:val="auto"/>
          <w:sz w:val="28"/>
          <w:szCs w:val="28"/>
          <w:lang w:val="en-US" w:eastAsia="zh-CN"/>
        </w:rPr>
        <w:t>9.8</w:t>
      </w:r>
      <w:r>
        <w:rPr>
          <w:rFonts w:hint="eastAsia" w:hAnsi="宋体"/>
          <w:b/>
          <w:color w:val="auto"/>
          <w:sz w:val="28"/>
          <w:szCs w:val="28"/>
        </w:rPr>
        <w:t>万元</w:t>
      </w:r>
    </w:p>
    <w:p w14:paraId="7915041A">
      <w:pPr>
        <w:pStyle w:val="5"/>
        <w:spacing w:line="360" w:lineRule="auto"/>
        <w:ind w:firstLine="562"/>
        <w:rPr>
          <w:rFonts w:hAnsi="宋体"/>
          <w:b/>
          <w:color w:val="auto"/>
          <w:sz w:val="28"/>
          <w:szCs w:val="28"/>
        </w:rPr>
      </w:pPr>
      <w:bookmarkStart w:id="0" w:name="_Toc337473965"/>
      <w:bookmarkStart w:id="1" w:name="_Toc355535481"/>
      <w:r>
        <w:rPr>
          <w:rFonts w:hint="eastAsia" w:hAnsi="宋体"/>
          <w:b/>
          <w:color w:val="auto"/>
          <w:sz w:val="28"/>
          <w:szCs w:val="28"/>
        </w:rPr>
        <w:t>三、主要门禁刷卡控制部位清单</w:t>
      </w:r>
      <w:bookmarkEnd w:id="0"/>
      <w:r>
        <w:rPr>
          <w:rFonts w:hint="eastAsia" w:hAnsi="宋体"/>
          <w:b/>
          <w:color w:val="auto"/>
          <w:sz w:val="28"/>
          <w:szCs w:val="28"/>
        </w:rPr>
        <w:t>列表</w:t>
      </w:r>
      <w:bookmarkEnd w:id="1"/>
    </w:p>
    <w:tbl>
      <w:tblPr>
        <w:tblStyle w:val="2"/>
        <w:tblW w:w="8900" w:type="dxa"/>
        <w:tblInd w:w="0" w:type="dxa"/>
        <w:tblLayout w:type="autofit"/>
        <w:tblCellMar>
          <w:top w:w="0" w:type="dxa"/>
          <w:left w:w="108" w:type="dxa"/>
          <w:bottom w:w="0" w:type="dxa"/>
          <w:right w:w="108" w:type="dxa"/>
        </w:tblCellMar>
      </w:tblPr>
      <w:tblGrid>
        <w:gridCol w:w="1080"/>
        <w:gridCol w:w="4100"/>
        <w:gridCol w:w="2200"/>
        <w:gridCol w:w="1520"/>
      </w:tblGrid>
      <w:tr w14:paraId="3D062E2A">
        <w:tblPrEx>
          <w:tblCellMar>
            <w:top w:w="0" w:type="dxa"/>
            <w:left w:w="108" w:type="dxa"/>
            <w:bottom w:w="0" w:type="dxa"/>
            <w:right w:w="108" w:type="dxa"/>
          </w:tblCellMar>
        </w:tblPrEx>
        <w:trPr>
          <w:trHeight w:val="270" w:hRule="atLeast"/>
        </w:trPr>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EEC280">
            <w:pPr>
              <w:widowControl/>
              <w:jc w:val="center"/>
              <w:rPr>
                <w:rFonts w:ascii="宋体" w:hAnsi="宋体" w:eastAsia="宋体" w:cs="宋体"/>
                <w:b/>
                <w:bCs/>
                <w:color w:val="auto"/>
                <w:kern w:val="0"/>
                <w:sz w:val="22"/>
              </w:rPr>
            </w:pPr>
            <w:bookmarkStart w:id="2" w:name="_Toc353887058"/>
            <w:bookmarkStart w:id="3" w:name="_Toc357022686"/>
            <w:bookmarkStart w:id="4" w:name="_Toc359310477"/>
            <w:bookmarkStart w:id="5" w:name="_Toc358239241"/>
            <w:bookmarkStart w:id="6" w:name="_Toc235872233"/>
            <w:r>
              <w:rPr>
                <w:rFonts w:hint="eastAsia" w:ascii="宋体" w:hAnsi="宋体" w:eastAsia="宋体" w:cs="宋体"/>
                <w:b/>
                <w:bCs/>
                <w:color w:val="auto"/>
                <w:kern w:val="0"/>
                <w:sz w:val="22"/>
              </w:rPr>
              <w:t>位置</w:t>
            </w:r>
          </w:p>
        </w:tc>
        <w:tc>
          <w:tcPr>
            <w:tcW w:w="4100" w:type="dxa"/>
            <w:tcBorders>
              <w:top w:val="single" w:color="auto" w:sz="4" w:space="0"/>
              <w:left w:val="nil"/>
              <w:bottom w:val="single" w:color="auto" w:sz="4" w:space="0"/>
              <w:right w:val="single" w:color="auto" w:sz="4" w:space="0"/>
            </w:tcBorders>
            <w:shd w:val="clear" w:color="auto" w:fill="auto"/>
            <w:noWrap/>
            <w:vAlign w:val="center"/>
          </w:tcPr>
          <w:p w14:paraId="5EB94A81">
            <w:pPr>
              <w:widowControl/>
              <w:jc w:val="center"/>
              <w:rPr>
                <w:rFonts w:ascii="宋体" w:hAnsi="宋体" w:eastAsia="宋体" w:cs="宋体"/>
                <w:b/>
                <w:bCs/>
                <w:color w:val="auto"/>
                <w:kern w:val="0"/>
                <w:sz w:val="22"/>
              </w:rPr>
            </w:pPr>
            <w:r>
              <w:rPr>
                <w:rFonts w:hint="eastAsia" w:ascii="宋体" w:hAnsi="宋体" w:eastAsia="宋体" w:cs="宋体"/>
                <w:b/>
                <w:bCs/>
                <w:color w:val="auto"/>
                <w:kern w:val="0"/>
                <w:sz w:val="22"/>
              </w:rPr>
              <w:t>受控电梯及防火门位置</w:t>
            </w:r>
          </w:p>
        </w:tc>
        <w:tc>
          <w:tcPr>
            <w:tcW w:w="2200" w:type="dxa"/>
            <w:tcBorders>
              <w:top w:val="single" w:color="auto" w:sz="4" w:space="0"/>
              <w:left w:val="nil"/>
              <w:bottom w:val="single" w:color="auto" w:sz="4" w:space="0"/>
              <w:right w:val="single" w:color="auto" w:sz="4" w:space="0"/>
            </w:tcBorders>
            <w:shd w:val="clear" w:color="auto" w:fill="auto"/>
            <w:noWrap/>
            <w:vAlign w:val="center"/>
          </w:tcPr>
          <w:p w14:paraId="13D3A69C">
            <w:pPr>
              <w:widowControl/>
              <w:jc w:val="center"/>
              <w:rPr>
                <w:rFonts w:ascii="宋体" w:hAnsi="宋体" w:eastAsia="宋体" w:cs="宋体"/>
                <w:b/>
                <w:bCs/>
                <w:color w:val="auto"/>
                <w:kern w:val="0"/>
                <w:sz w:val="22"/>
              </w:rPr>
            </w:pPr>
            <w:r>
              <w:rPr>
                <w:rFonts w:hint="eastAsia" w:ascii="宋体" w:hAnsi="宋体" w:eastAsia="宋体" w:cs="宋体"/>
                <w:b/>
                <w:bCs/>
                <w:color w:val="auto"/>
                <w:kern w:val="0"/>
                <w:sz w:val="22"/>
              </w:rPr>
              <w:t>刷卡控制呼梯</w:t>
            </w:r>
          </w:p>
        </w:tc>
        <w:tc>
          <w:tcPr>
            <w:tcW w:w="1520" w:type="dxa"/>
            <w:tcBorders>
              <w:top w:val="single" w:color="auto" w:sz="4" w:space="0"/>
              <w:left w:val="nil"/>
              <w:bottom w:val="single" w:color="auto" w:sz="4" w:space="0"/>
              <w:right w:val="single" w:color="auto" w:sz="4" w:space="0"/>
            </w:tcBorders>
            <w:shd w:val="clear" w:color="auto" w:fill="auto"/>
            <w:noWrap/>
            <w:vAlign w:val="center"/>
          </w:tcPr>
          <w:p w14:paraId="511CE69B">
            <w:pPr>
              <w:widowControl/>
              <w:jc w:val="center"/>
              <w:rPr>
                <w:rFonts w:ascii="宋体" w:hAnsi="宋体" w:eastAsia="宋体" w:cs="宋体"/>
                <w:b/>
                <w:bCs/>
                <w:color w:val="auto"/>
                <w:kern w:val="0"/>
                <w:sz w:val="22"/>
              </w:rPr>
            </w:pPr>
            <w:r>
              <w:rPr>
                <w:rFonts w:hint="eastAsia" w:ascii="宋体" w:hAnsi="宋体" w:eastAsia="宋体" w:cs="宋体"/>
                <w:b/>
                <w:bCs/>
                <w:color w:val="auto"/>
                <w:kern w:val="0"/>
                <w:sz w:val="22"/>
              </w:rPr>
              <w:t>刷卡控制开门</w:t>
            </w:r>
          </w:p>
        </w:tc>
      </w:tr>
      <w:tr w14:paraId="48D45C7B">
        <w:tblPrEx>
          <w:tblCellMar>
            <w:top w:w="0" w:type="dxa"/>
            <w:left w:w="108" w:type="dxa"/>
            <w:bottom w:w="0" w:type="dxa"/>
            <w:right w:w="108" w:type="dxa"/>
          </w:tblCellMar>
        </w:tblPrEx>
        <w:trPr>
          <w:trHeight w:val="270" w:hRule="atLeast"/>
        </w:trPr>
        <w:tc>
          <w:tcPr>
            <w:tcW w:w="1080" w:type="dxa"/>
            <w:vMerge w:val="restart"/>
            <w:tcBorders>
              <w:top w:val="nil"/>
              <w:left w:val="single" w:color="auto" w:sz="4" w:space="0"/>
              <w:bottom w:val="single" w:color="auto" w:sz="4" w:space="0"/>
              <w:right w:val="single" w:color="auto" w:sz="4" w:space="0"/>
            </w:tcBorders>
            <w:shd w:val="clear" w:color="auto" w:fill="auto"/>
            <w:noWrap/>
            <w:vAlign w:val="center"/>
          </w:tcPr>
          <w:p w14:paraId="4CEBFEDF">
            <w:pPr>
              <w:widowControl/>
              <w:jc w:val="center"/>
              <w:rPr>
                <w:rFonts w:ascii="宋体" w:hAnsi="宋体" w:eastAsia="宋体" w:cs="宋体"/>
                <w:b/>
                <w:bCs/>
                <w:color w:val="auto"/>
                <w:kern w:val="0"/>
                <w:sz w:val="22"/>
              </w:rPr>
            </w:pPr>
            <w:r>
              <w:rPr>
                <w:rFonts w:hint="eastAsia" w:ascii="宋体" w:hAnsi="宋体" w:eastAsia="宋体" w:cs="宋体"/>
                <w:b/>
                <w:bCs/>
                <w:color w:val="auto"/>
                <w:kern w:val="0"/>
                <w:sz w:val="22"/>
              </w:rPr>
              <w:t>负一楼</w:t>
            </w:r>
          </w:p>
        </w:tc>
        <w:tc>
          <w:tcPr>
            <w:tcW w:w="4100" w:type="dxa"/>
            <w:tcBorders>
              <w:top w:val="nil"/>
              <w:left w:val="nil"/>
              <w:bottom w:val="single" w:color="auto" w:sz="4" w:space="0"/>
              <w:right w:val="single" w:color="auto" w:sz="4" w:space="0"/>
            </w:tcBorders>
            <w:shd w:val="clear" w:color="auto" w:fill="auto"/>
            <w:noWrap/>
            <w:vAlign w:val="center"/>
          </w:tcPr>
          <w:p w14:paraId="2B57343A">
            <w:pPr>
              <w:widowControl/>
              <w:jc w:val="left"/>
              <w:rPr>
                <w:rFonts w:ascii="宋体" w:hAnsi="宋体" w:eastAsia="宋体" w:cs="宋体"/>
                <w:color w:val="auto"/>
                <w:kern w:val="0"/>
                <w:sz w:val="22"/>
              </w:rPr>
            </w:pPr>
            <w:r>
              <w:rPr>
                <w:rFonts w:hint="eastAsia" w:ascii="宋体" w:hAnsi="宋体" w:eastAsia="宋体" w:cs="宋体"/>
                <w:color w:val="auto"/>
                <w:kern w:val="0"/>
                <w:sz w:val="22"/>
              </w:rPr>
              <w:t>3#电梯</w:t>
            </w:r>
          </w:p>
        </w:tc>
        <w:tc>
          <w:tcPr>
            <w:tcW w:w="2200" w:type="dxa"/>
            <w:tcBorders>
              <w:top w:val="nil"/>
              <w:left w:val="nil"/>
              <w:bottom w:val="single" w:color="auto" w:sz="4" w:space="0"/>
              <w:right w:val="single" w:color="auto" w:sz="4" w:space="0"/>
            </w:tcBorders>
            <w:shd w:val="clear" w:color="auto" w:fill="auto"/>
            <w:noWrap/>
            <w:vAlign w:val="center"/>
          </w:tcPr>
          <w:p w14:paraId="4752C25A">
            <w:pPr>
              <w:widowControl/>
              <w:jc w:val="center"/>
              <w:rPr>
                <w:rFonts w:ascii="宋体" w:hAnsi="宋体" w:eastAsia="宋体" w:cs="宋体"/>
                <w:color w:val="auto"/>
                <w:kern w:val="0"/>
                <w:sz w:val="22"/>
              </w:rPr>
            </w:pPr>
            <w:r>
              <w:rPr>
                <w:rFonts w:hint="eastAsia" w:ascii="宋体" w:hAnsi="宋体" w:eastAsia="宋体" w:cs="宋体"/>
                <w:color w:val="auto"/>
                <w:kern w:val="0"/>
                <w:sz w:val="22"/>
              </w:rPr>
              <w:t>上、下</w:t>
            </w:r>
          </w:p>
        </w:tc>
        <w:tc>
          <w:tcPr>
            <w:tcW w:w="1520" w:type="dxa"/>
            <w:tcBorders>
              <w:top w:val="nil"/>
              <w:left w:val="nil"/>
              <w:bottom w:val="single" w:color="auto" w:sz="4" w:space="0"/>
              <w:right w:val="single" w:color="auto" w:sz="4" w:space="0"/>
            </w:tcBorders>
            <w:shd w:val="clear" w:color="auto" w:fill="auto"/>
            <w:noWrap/>
            <w:vAlign w:val="center"/>
          </w:tcPr>
          <w:p w14:paraId="7D300BB3">
            <w:pPr>
              <w:widowControl/>
              <w:jc w:val="left"/>
              <w:rPr>
                <w:rFonts w:ascii="宋体" w:hAnsi="宋体" w:eastAsia="宋体" w:cs="宋体"/>
                <w:color w:val="auto"/>
                <w:kern w:val="0"/>
                <w:sz w:val="22"/>
              </w:rPr>
            </w:pPr>
            <w:r>
              <w:rPr>
                <w:rFonts w:hint="eastAsia" w:ascii="宋体" w:hAnsi="宋体" w:eastAsia="宋体" w:cs="宋体"/>
                <w:color w:val="auto"/>
                <w:kern w:val="0"/>
                <w:sz w:val="22"/>
              </w:rPr>
              <w:t>　</w:t>
            </w:r>
          </w:p>
        </w:tc>
      </w:tr>
      <w:tr w14:paraId="5B9EA4DC">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vAlign w:val="center"/>
          </w:tcPr>
          <w:p w14:paraId="4AC725EC">
            <w:pPr>
              <w:widowControl/>
              <w:jc w:val="left"/>
              <w:rPr>
                <w:rFonts w:ascii="宋体" w:hAnsi="宋体" w:eastAsia="宋体" w:cs="宋体"/>
                <w:b/>
                <w:bCs/>
                <w:color w:val="auto"/>
                <w:kern w:val="0"/>
                <w:sz w:val="22"/>
              </w:rPr>
            </w:pPr>
          </w:p>
        </w:tc>
        <w:tc>
          <w:tcPr>
            <w:tcW w:w="4100" w:type="dxa"/>
            <w:tcBorders>
              <w:top w:val="nil"/>
              <w:left w:val="nil"/>
              <w:bottom w:val="single" w:color="auto" w:sz="4" w:space="0"/>
              <w:right w:val="single" w:color="auto" w:sz="4" w:space="0"/>
            </w:tcBorders>
            <w:shd w:val="clear" w:color="auto" w:fill="auto"/>
            <w:noWrap/>
            <w:vAlign w:val="center"/>
          </w:tcPr>
          <w:p w14:paraId="0F4DA8B6">
            <w:pPr>
              <w:widowControl/>
              <w:jc w:val="left"/>
              <w:rPr>
                <w:rFonts w:ascii="宋体" w:hAnsi="宋体" w:eastAsia="宋体" w:cs="宋体"/>
                <w:color w:val="auto"/>
                <w:kern w:val="0"/>
                <w:sz w:val="22"/>
              </w:rPr>
            </w:pPr>
            <w:r>
              <w:rPr>
                <w:rFonts w:hint="eastAsia" w:ascii="宋体" w:hAnsi="宋体" w:eastAsia="宋体" w:cs="宋体"/>
                <w:color w:val="auto"/>
                <w:kern w:val="0"/>
                <w:sz w:val="22"/>
              </w:rPr>
              <w:t>3#电梯厅外旁下负二走火梯门</w:t>
            </w:r>
          </w:p>
        </w:tc>
        <w:tc>
          <w:tcPr>
            <w:tcW w:w="2200" w:type="dxa"/>
            <w:tcBorders>
              <w:top w:val="nil"/>
              <w:left w:val="nil"/>
              <w:bottom w:val="single" w:color="auto" w:sz="4" w:space="0"/>
              <w:right w:val="single" w:color="auto" w:sz="4" w:space="0"/>
            </w:tcBorders>
            <w:shd w:val="clear" w:color="auto" w:fill="auto"/>
            <w:noWrap/>
            <w:vAlign w:val="center"/>
          </w:tcPr>
          <w:p w14:paraId="43716E9A">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c>
          <w:tcPr>
            <w:tcW w:w="1520" w:type="dxa"/>
            <w:tcBorders>
              <w:top w:val="nil"/>
              <w:left w:val="nil"/>
              <w:bottom w:val="single" w:color="auto" w:sz="4" w:space="0"/>
              <w:right w:val="single" w:color="auto" w:sz="4" w:space="0"/>
            </w:tcBorders>
            <w:shd w:val="clear" w:color="auto" w:fill="auto"/>
            <w:noWrap/>
            <w:vAlign w:val="center"/>
          </w:tcPr>
          <w:p w14:paraId="5A416BE9">
            <w:pPr>
              <w:widowControl/>
              <w:jc w:val="center"/>
              <w:rPr>
                <w:rFonts w:ascii="宋体" w:hAnsi="宋体" w:eastAsia="宋体" w:cs="宋体"/>
                <w:color w:val="auto"/>
                <w:kern w:val="0"/>
                <w:sz w:val="22"/>
              </w:rPr>
            </w:pPr>
            <w:r>
              <w:rPr>
                <w:rFonts w:hint="eastAsia" w:ascii="宋体" w:hAnsi="宋体" w:eastAsia="宋体" w:cs="宋体"/>
                <w:color w:val="auto"/>
                <w:kern w:val="0"/>
                <w:sz w:val="22"/>
              </w:rPr>
              <w:t>1</w:t>
            </w:r>
          </w:p>
        </w:tc>
      </w:tr>
      <w:tr w14:paraId="121003B5">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vAlign w:val="center"/>
          </w:tcPr>
          <w:p w14:paraId="2B25B03E">
            <w:pPr>
              <w:widowControl/>
              <w:jc w:val="left"/>
              <w:rPr>
                <w:rFonts w:ascii="宋体" w:hAnsi="宋体" w:eastAsia="宋体" w:cs="宋体"/>
                <w:b/>
                <w:bCs/>
                <w:color w:val="auto"/>
                <w:kern w:val="0"/>
                <w:sz w:val="22"/>
              </w:rPr>
            </w:pPr>
          </w:p>
        </w:tc>
        <w:tc>
          <w:tcPr>
            <w:tcW w:w="4100" w:type="dxa"/>
            <w:tcBorders>
              <w:top w:val="nil"/>
              <w:left w:val="nil"/>
              <w:bottom w:val="single" w:color="auto" w:sz="4" w:space="0"/>
              <w:right w:val="single" w:color="auto" w:sz="4" w:space="0"/>
            </w:tcBorders>
            <w:shd w:val="clear" w:color="auto" w:fill="auto"/>
            <w:noWrap/>
            <w:vAlign w:val="center"/>
          </w:tcPr>
          <w:p w14:paraId="269ADC5F">
            <w:pPr>
              <w:widowControl/>
              <w:jc w:val="left"/>
              <w:rPr>
                <w:rFonts w:ascii="宋体" w:hAnsi="宋体" w:eastAsia="宋体" w:cs="宋体"/>
                <w:color w:val="auto"/>
                <w:kern w:val="0"/>
                <w:sz w:val="22"/>
              </w:rPr>
            </w:pPr>
            <w:r>
              <w:rPr>
                <w:rFonts w:hint="eastAsia" w:ascii="宋体" w:hAnsi="宋体" w:eastAsia="宋体" w:cs="宋体"/>
                <w:color w:val="auto"/>
                <w:kern w:val="0"/>
                <w:sz w:val="22"/>
              </w:rPr>
              <w:t>4#电梯</w:t>
            </w:r>
          </w:p>
        </w:tc>
        <w:tc>
          <w:tcPr>
            <w:tcW w:w="2200" w:type="dxa"/>
            <w:tcBorders>
              <w:top w:val="nil"/>
              <w:left w:val="nil"/>
              <w:bottom w:val="single" w:color="auto" w:sz="4" w:space="0"/>
              <w:right w:val="single" w:color="auto" w:sz="4" w:space="0"/>
            </w:tcBorders>
            <w:shd w:val="clear" w:color="auto" w:fill="auto"/>
            <w:noWrap/>
            <w:vAlign w:val="center"/>
          </w:tcPr>
          <w:p w14:paraId="1F5497E8">
            <w:pPr>
              <w:widowControl/>
              <w:jc w:val="center"/>
              <w:rPr>
                <w:rFonts w:ascii="宋体" w:hAnsi="宋体" w:eastAsia="宋体" w:cs="宋体"/>
                <w:color w:val="auto"/>
                <w:kern w:val="0"/>
                <w:sz w:val="22"/>
              </w:rPr>
            </w:pPr>
            <w:r>
              <w:rPr>
                <w:rFonts w:hint="eastAsia" w:ascii="宋体" w:hAnsi="宋体" w:eastAsia="宋体" w:cs="宋体"/>
                <w:color w:val="auto"/>
                <w:kern w:val="0"/>
                <w:sz w:val="22"/>
              </w:rPr>
              <w:t>上、下</w:t>
            </w:r>
          </w:p>
        </w:tc>
        <w:tc>
          <w:tcPr>
            <w:tcW w:w="1520" w:type="dxa"/>
            <w:tcBorders>
              <w:top w:val="nil"/>
              <w:left w:val="nil"/>
              <w:bottom w:val="single" w:color="auto" w:sz="4" w:space="0"/>
              <w:right w:val="single" w:color="auto" w:sz="4" w:space="0"/>
            </w:tcBorders>
            <w:shd w:val="clear" w:color="auto" w:fill="auto"/>
            <w:noWrap/>
            <w:vAlign w:val="center"/>
          </w:tcPr>
          <w:p w14:paraId="472D832D">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r>
      <w:tr w14:paraId="1524F81F">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vAlign w:val="center"/>
          </w:tcPr>
          <w:p w14:paraId="7B81EFB9">
            <w:pPr>
              <w:widowControl/>
              <w:jc w:val="left"/>
              <w:rPr>
                <w:rFonts w:ascii="宋体" w:hAnsi="宋体" w:eastAsia="宋体" w:cs="宋体"/>
                <w:b/>
                <w:bCs/>
                <w:color w:val="auto"/>
                <w:kern w:val="0"/>
                <w:sz w:val="22"/>
              </w:rPr>
            </w:pPr>
          </w:p>
        </w:tc>
        <w:tc>
          <w:tcPr>
            <w:tcW w:w="4100" w:type="dxa"/>
            <w:tcBorders>
              <w:top w:val="nil"/>
              <w:left w:val="nil"/>
              <w:bottom w:val="single" w:color="auto" w:sz="4" w:space="0"/>
              <w:right w:val="single" w:color="auto" w:sz="4" w:space="0"/>
            </w:tcBorders>
            <w:shd w:val="clear" w:color="auto" w:fill="auto"/>
            <w:noWrap/>
            <w:vAlign w:val="center"/>
          </w:tcPr>
          <w:p w14:paraId="74D012FF">
            <w:pPr>
              <w:widowControl/>
              <w:jc w:val="left"/>
              <w:rPr>
                <w:rFonts w:ascii="宋体" w:hAnsi="宋体" w:eastAsia="宋体" w:cs="宋体"/>
                <w:color w:val="auto"/>
                <w:kern w:val="0"/>
                <w:sz w:val="22"/>
              </w:rPr>
            </w:pPr>
            <w:r>
              <w:rPr>
                <w:rFonts w:hint="eastAsia" w:ascii="宋体" w:hAnsi="宋体" w:eastAsia="宋体" w:cs="宋体"/>
                <w:color w:val="auto"/>
                <w:kern w:val="0"/>
                <w:sz w:val="22"/>
              </w:rPr>
              <w:t>5#电梯</w:t>
            </w:r>
          </w:p>
        </w:tc>
        <w:tc>
          <w:tcPr>
            <w:tcW w:w="2200" w:type="dxa"/>
            <w:tcBorders>
              <w:top w:val="nil"/>
              <w:left w:val="nil"/>
              <w:bottom w:val="single" w:color="auto" w:sz="4" w:space="0"/>
              <w:right w:val="single" w:color="auto" w:sz="4" w:space="0"/>
            </w:tcBorders>
            <w:shd w:val="clear" w:color="auto" w:fill="auto"/>
            <w:noWrap/>
            <w:vAlign w:val="center"/>
          </w:tcPr>
          <w:p w14:paraId="353AB565">
            <w:pPr>
              <w:widowControl/>
              <w:jc w:val="center"/>
              <w:rPr>
                <w:rFonts w:ascii="宋体" w:hAnsi="宋体" w:eastAsia="宋体" w:cs="宋体"/>
                <w:color w:val="auto"/>
                <w:kern w:val="0"/>
                <w:sz w:val="22"/>
              </w:rPr>
            </w:pPr>
            <w:r>
              <w:rPr>
                <w:rFonts w:hint="eastAsia" w:ascii="宋体" w:hAnsi="宋体" w:eastAsia="宋体" w:cs="宋体"/>
                <w:color w:val="auto"/>
                <w:kern w:val="0"/>
                <w:sz w:val="22"/>
              </w:rPr>
              <w:t>上</w:t>
            </w:r>
          </w:p>
        </w:tc>
        <w:tc>
          <w:tcPr>
            <w:tcW w:w="1520" w:type="dxa"/>
            <w:tcBorders>
              <w:top w:val="nil"/>
              <w:left w:val="nil"/>
              <w:bottom w:val="single" w:color="auto" w:sz="4" w:space="0"/>
              <w:right w:val="single" w:color="auto" w:sz="4" w:space="0"/>
            </w:tcBorders>
            <w:shd w:val="clear" w:color="auto" w:fill="auto"/>
            <w:noWrap/>
            <w:vAlign w:val="center"/>
          </w:tcPr>
          <w:p w14:paraId="0FF89A88">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r>
      <w:tr w14:paraId="765BAE5A">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vAlign w:val="center"/>
          </w:tcPr>
          <w:p w14:paraId="4A01898B">
            <w:pPr>
              <w:widowControl/>
              <w:jc w:val="left"/>
              <w:rPr>
                <w:rFonts w:ascii="宋体" w:hAnsi="宋体" w:eastAsia="宋体" w:cs="宋体"/>
                <w:b/>
                <w:bCs/>
                <w:color w:val="auto"/>
                <w:kern w:val="0"/>
                <w:sz w:val="22"/>
              </w:rPr>
            </w:pPr>
          </w:p>
        </w:tc>
        <w:tc>
          <w:tcPr>
            <w:tcW w:w="4100" w:type="dxa"/>
            <w:tcBorders>
              <w:top w:val="nil"/>
              <w:left w:val="nil"/>
              <w:bottom w:val="single" w:color="auto" w:sz="4" w:space="0"/>
              <w:right w:val="single" w:color="auto" w:sz="4" w:space="0"/>
            </w:tcBorders>
            <w:shd w:val="clear" w:color="auto" w:fill="auto"/>
            <w:noWrap/>
            <w:vAlign w:val="center"/>
          </w:tcPr>
          <w:p w14:paraId="5151A4BC">
            <w:pPr>
              <w:widowControl/>
              <w:jc w:val="left"/>
              <w:rPr>
                <w:rFonts w:ascii="宋体" w:hAnsi="宋体" w:eastAsia="宋体" w:cs="宋体"/>
                <w:color w:val="auto"/>
                <w:kern w:val="0"/>
                <w:sz w:val="22"/>
              </w:rPr>
            </w:pPr>
            <w:r>
              <w:rPr>
                <w:rFonts w:hint="eastAsia" w:ascii="宋体" w:hAnsi="宋体" w:eastAsia="宋体" w:cs="宋体"/>
                <w:color w:val="auto"/>
                <w:kern w:val="0"/>
                <w:sz w:val="22"/>
              </w:rPr>
              <w:t>5#电梯旁走火梯门</w:t>
            </w:r>
          </w:p>
        </w:tc>
        <w:tc>
          <w:tcPr>
            <w:tcW w:w="2200" w:type="dxa"/>
            <w:tcBorders>
              <w:top w:val="nil"/>
              <w:left w:val="nil"/>
              <w:bottom w:val="single" w:color="auto" w:sz="4" w:space="0"/>
              <w:right w:val="single" w:color="auto" w:sz="4" w:space="0"/>
            </w:tcBorders>
            <w:shd w:val="clear" w:color="auto" w:fill="auto"/>
            <w:noWrap/>
            <w:vAlign w:val="center"/>
          </w:tcPr>
          <w:p w14:paraId="2661C709">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c>
          <w:tcPr>
            <w:tcW w:w="1520" w:type="dxa"/>
            <w:tcBorders>
              <w:top w:val="nil"/>
              <w:left w:val="nil"/>
              <w:bottom w:val="single" w:color="auto" w:sz="4" w:space="0"/>
              <w:right w:val="single" w:color="auto" w:sz="4" w:space="0"/>
            </w:tcBorders>
            <w:shd w:val="clear" w:color="auto" w:fill="auto"/>
            <w:noWrap/>
            <w:vAlign w:val="center"/>
          </w:tcPr>
          <w:p w14:paraId="40646FB3">
            <w:pPr>
              <w:widowControl/>
              <w:jc w:val="center"/>
              <w:rPr>
                <w:rFonts w:ascii="宋体" w:hAnsi="宋体" w:eastAsia="宋体" w:cs="宋体"/>
                <w:color w:val="auto"/>
                <w:kern w:val="0"/>
                <w:sz w:val="22"/>
              </w:rPr>
            </w:pPr>
            <w:r>
              <w:rPr>
                <w:rFonts w:hint="eastAsia" w:ascii="宋体" w:hAnsi="宋体" w:eastAsia="宋体" w:cs="宋体"/>
                <w:color w:val="auto"/>
                <w:kern w:val="0"/>
                <w:sz w:val="22"/>
              </w:rPr>
              <w:t>1</w:t>
            </w:r>
          </w:p>
        </w:tc>
      </w:tr>
      <w:tr w14:paraId="55A95277">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vAlign w:val="center"/>
          </w:tcPr>
          <w:p w14:paraId="23F1CBBE">
            <w:pPr>
              <w:widowControl/>
              <w:jc w:val="left"/>
              <w:rPr>
                <w:rFonts w:ascii="宋体" w:hAnsi="宋体" w:eastAsia="宋体" w:cs="宋体"/>
                <w:b/>
                <w:bCs/>
                <w:color w:val="auto"/>
                <w:kern w:val="0"/>
                <w:sz w:val="22"/>
              </w:rPr>
            </w:pPr>
          </w:p>
        </w:tc>
        <w:tc>
          <w:tcPr>
            <w:tcW w:w="4100" w:type="dxa"/>
            <w:tcBorders>
              <w:top w:val="nil"/>
              <w:left w:val="nil"/>
              <w:bottom w:val="single" w:color="auto" w:sz="4" w:space="0"/>
              <w:right w:val="single" w:color="auto" w:sz="4" w:space="0"/>
            </w:tcBorders>
            <w:shd w:val="clear" w:color="auto" w:fill="auto"/>
            <w:noWrap/>
            <w:vAlign w:val="center"/>
          </w:tcPr>
          <w:p w14:paraId="19B836EF">
            <w:pPr>
              <w:widowControl/>
              <w:jc w:val="left"/>
              <w:rPr>
                <w:rFonts w:ascii="宋体" w:hAnsi="宋体" w:eastAsia="宋体" w:cs="宋体"/>
                <w:color w:val="auto"/>
                <w:kern w:val="0"/>
                <w:sz w:val="22"/>
              </w:rPr>
            </w:pPr>
            <w:r>
              <w:rPr>
                <w:rFonts w:hint="eastAsia" w:ascii="宋体" w:hAnsi="宋体" w:eastAsia="宋体" w:cs="宋体"/>
                <w:color w:val="auto"/>
                <w:kern w:val="0"/>
                <w:sz w:val="22"/>
              </w:rPr>
              <w:t>7#电梯</w:t>
            </w:r>
          </w:p>
        </w:tc>
        <w:tc>
          <w:tcPr>
            <w:tcW w:w="2200" w:type="dxa"/>
            <w:tcBorders>
              <w:top w:val="nil"/>
              <w:left w:val="nil"/>
              <w:bottom w:val="single" w:color="auto" w:sz="4" w:space="0"/>
              <w:right w:val="single" w:color="auto" w:sz="4" w:space="0"/>
            </w:tcBorders>
            <w:shd w:val="clear" w:color="auto" w:fill="auto"/>
            <w:noWrap/>
            <w:vAlign w:val="center"/>
          </w:tcPr>
          <w:p w14:paraId="3D537960">
            <w:pPr>
              <w:widowControl/>
              <w:jc w:val="center"/>
              <w:rPr>
                <w:rFonts w:ascii="宋体" w:hAnsi="宋体" w:eastAsia="宋体" w:cs="宋体"/>
                <w:color w:val="auto"/>
                <w:kern w:val="0"/>
                <w:sz w:val="22"/>
              </w:rPr>
            </w:pPr>
            <w:r>
              <w:rPr>
                <w:rFonts w:hint="eastAsia" w:ascii="宋体" w:hAnsi="宋体" w:eastAsia="宋体" w:cs="宋体"/>
                <w:color w:val="auto"/>
                <w:kern w:val="0"/>
                <w:sz w:val="22"/>
              </w:rPr>
              <w:t>上、下</w:t>
            </w:r>
          </w:p>
        </w:tc>
        <w:tc>
          <w:tcPr>
            <w:tcW w:w="1520" w:type="dxa"/>
            <w:tcBorders>
              <w:top w:val="nil"/>
              <w:left w:val="nil"/>
              <w:bottom w:val="single" w:color="auto" w:sz="4" w:space="0"/>
              <w:right w:val="single" w:color="auto" w:sz="4" w:space="0"/>
            </w:tcBorders>
            <w:shd w:val="clear" w:color="auto" w:fill="auto"/>
            <w:noWrap/>
            <w:vAlign w:val="center"/>
          </w:tcPr>
          <w:p w14:paraId="062CFFB9">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r>
      <w:tr w14:paraId="45A8A64B">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vAlign w:val="center"/>
          </w:tcPr>
          <w:p w14:paraId="686EE157">
            <w:pPr>
              <w:widowControl/>
              <w:jc w:val="left"/>
              <w:rPr>
                <w:rFonts w:ascii="宋体" w:hAnsi="宋体" w:eastAsia="宋体" w:cs="宋体"/>
                <w:b/>
                <w:bCs/>
                <w:color w:val="auto"/>
                <w:kern w:val="0"/>
                <w:sz w:val="22"/>
              </w:rPr>
            </w:pPr>
          </w:p>
        </w:tc>
        <w:tc>
          <w:tcPr>
            <w:tcW w:w="4100" w:type="dxa"/>
            <w:tcBorders>
              <w:top w:val="nil"/>
              <w:left w:val="nil"/>
              <w:bottom w:val="single" w:color="auto" w:sz="4" w:space="0"/>
              <w:right w:val="single" w:color="auto" w:sz="4" w:space="0"/>
            </w:tcBorders>
            <w:shd w:val="clear" w:color="auto" w:fill="auto"/>
            <w:noWrap/>
            <w:vAlign w:val="center"/>
          </w:tcPr>
          <w:p w14:paraId="35901985">
            <w:pPr>
              <w:widowControl/>
              <w:jc w:val="left"/>
              <w:rPr>
                <w:rFonts w:ascii="宋体" w:hAnsi="宋体" w:eastAsia="宋体" w:cs="宋体"/>
                <w:color w:val="auto"/>
                <w:kern w:val="0"/>
                <w:sz w:val="22"/>
              </w:rPr>
            </w:pPr>
            <w:r>
              <w:rPr>
                <w:rFonts w:hint="eastAsia" w:ascii="宋体" w:hAnsi="宋体" w:eastAsia="宋体" w:cs="宋体"/>
                <w:color w:val="auto"/>
                <w:kern w:val="0"/>
                <w:sz w:val="22"/>
              </w:rPr>
              <w:t>7#电梯旁走火梯门（1）</w:t>
            </w:r>
          </w:p>
        </w:tc>
        <w:tc>
          <w:tcPr>
            <w:tcW w:w="2200" w:type="dxa"/>
            <w:tcBorders>
              <w:top w:val="nil"/>
              <w:left w:val="nil"/>
              <w:bottom w:val="single" w:color="auto" w:sz="4" w:space="0"/>
              <w:right w:val="single" w:color="auto" w:sz="4" w:space="0"/>
            </w:tcBorders>
            <w:shd w:val="clear" w:color="auto" w:fill="auto"/>
            <w:noWrap/>
            <w:vAlign w:val="center"/>
          </w:tcPr>
          <w:p w14:paraId="6336F72C">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c>
          <w:tcPr>
            <w:tcW w:w="1520" w:type="dxa"/>
            <w:tcBorders>
              <w:top w:val="nil"/>
              <w:left w:val="nil"/>
              <w:bottom w:val="single" w:color="auto" w:sz="4" w:space="0"/>
              <w:right w:val="single" w:color="auto" w:sz="4" w:space="0"/>
            </w:tcBorders>
            <w:shd w:val="clear" w:color="auto" w:fill="auto"/>
            <w:noWrap/>
            <w:vAlign w:val="center"/>
          </w:tcPr>
          <w:p w14:paraId="22D4FF04">
            <w:pPr>
              <w:widowControl/>
              <w:jc w:val="center"/>
              <w:rPr>
                <w:rFonts w:ascii="宋体" w:hAnsi="宋体" w:eastAsia="宋体" w:cs="宋体"/>
                <w:color w:val="auto"/>
                <w:kern w:val="0"/>
                <w:sz w:val="22"/>
              </w:rPr>
            </w:pPr>
            <w:r>
              <w:rPr>
                <w:rFonts w:hint="eastAsia" w:ascii="宋体" w:hAnsi="宋体" w:eastAsia="宋体" w:cs="宋体"/>
                <w:color w:val="auto"/>
                <w:kern w:val="0"/>
                <w:sz w:val="22"/>
              </w:rPr>
              <w:t>1</w:t>
            </w:r>
          </w:p>
        </w:tc>
      </w:tr>
      <w:tr w14:paraId="2C5CBDB1">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vAlign w:val="center"/>
          </w:tcPr>
          <w:p w14:paraId="08887630">
            <w:pPr>
              <w:widowControl/>
              <w:jc w:val="left"/>
              <w:rPr>
                <w:rFonts w:ascii="宋体" w:hAnsi="宋体" w:eastAsia="宋体" w:cs="宋体"/>
                <w:b/>
                <w:bCs/>
                <w:color w:val="auto"/>
                <w:kern w:val="0"/>
                <w:sz w:val="22"/>
              </w:rPr>
            </w:pPr>
          </w:p>
        </w:tc>
        <w:tc>
          <w:tcPr>
            <w:tcW w:w="4100" w:type="dxa"/>
            <w:tcBorders>
              <w:top w:val="nil"/>
              <w:left w:val="nil"/>
              <w:bottom w:val="single" w:color="auto" w:sz="4" w:space="0"/>
              <w:right w:val="single" w:color="auto" w:sz="4" w:space="0"/>
            </w:tcBorders>
            <w:shd w:val="clear" w:color="auto" w:fill="auto"/>
            <w:noWrap/>
            <w:vAlign w:val="center"/>
          </w:tcPr>
          <w:p w14:paraId="0C28397F">
            <w:pPr>
              <w:widowControl/>
              <w:jc w:val="left"/>
              <w:rPr>
                <w:rFonts w:ascii="宋体" w:hAnsi="宋体" w:eastAsia="宋体" w:cs="宋体"/>
                <w:color w:val="auto"/>
                <w:kern w:val="0"/>
                <w:sz w:val="22"/>
              </w:rPr>
            </w:pPr>
            <w:r>
              <w:rPr>
                <w:rFonts w:hint="eastAsia" w:ascii="宋体" w:hAnsi="宋体" w:eastAsia="宋体" w:cs="宋体"/>
                <w:color w:val="auto"/>
                <w:kern w:val="0"/>
                <w:sz w:val="22"/>
              </w:rPr>
              <w:t>7#电梯旁走火梯门（2）</w:t>
            </w:r>
          </w:p>
        </w:tc>
        <w:tc>
          <w:tcPr>
            <w:tcW w:w="2200" w:type="dxa"/>
            <w:tcBorders>
              <w:top w:val="nil"/>
              <w:left w:val="nil"/>
              <w:bottom w:val="single" w:color="auto" w:sz="4" w:space="0"/>
              <w:right w:val="single" w:color="auto" w:sz="4" w:space="0"/>
            </w:tcBorders>
            <w:shd w:val="clear" w:color="auto" w:fill="auto"/>
            <w:noWrap/>
            <w:vAlign w:val="center"/>
          </w:tcPr>
          <w:p w14:paraId="63EE754B">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c>
          <w:tcPr>
            <w:tcW w:w="1520" w:type="dxa"/>
            <w:tcBorders>
              <w:top w:val="nil"/>
              <w:left w:val="nil"/>
              <w:bottom w:val="single" w:color="auto" w:sz="4" w:space="0"/>
              <w:right w:val="single" w:color="auto" w:sz="4" w:space="0"/>
            </w:tcBorders>
            <w:shd w:val="clear" w:color="auto" w:fill="auto"/>
            <w:noWrap/>
            <w:vAlign w:val="center"/>
          </w:tcPr>
          <w:p w14:paraId="6DF57393">
            <w:pPr>
              <w:widowControl/>
              <w:jc w:val="center"/>
              <w:rPr>
                <w:rFonts w:ascii="宋体" w:hAnsi="宋体" w:eastAsia="宋体" w:cs="宋体"/>
                <w:color w:val="auto"/>
                <w:kern w:val="0"/>
                <w:sz w:val="22"/>
              </w:rPr>
            </w:pPr>
            <w:r>
              <w:rPr>
                <w:rFonts w:hint="eastAsia" w:ascii="宋体" w:hAnsi="宋体" w:eastAsia="宋体" w:cs="宋体"/>
                <w:color w:val="auto"/>
                <w:kern w:val="0"/>
                <w:sz w:val="22"/>
              </w:rPr>
              <w:t>1</w:t>
            </w:r>
          </w:p>
        </w:tc>
      </w:tr>
      <w:tr w14:paraId="4AAC4E14">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vAlign w:val="center"/>
          </w:tcPr>
          <w:p w14:paraId="4471E52A">
            <w:pPr>
              <w:widowControl/>
              <w:jc w:val="left"/>
              <w:rPr>
                <w:rFonts w:ascii="宋体" w:hAnsi="宋体" w:eastAsia="宋体" w:cs="宋体"/>
                <w:b/>
                <w:bCs/>
                <w:color w:val="auto"/>
                <w:kern w:val="0"/>
                <w:sz w:val="22"/>
              </w:rPr>
            </w:pPr>
          </w:p>
        </w:tc>
        <w:tc>
          <w:tcPr>
            <w:tcW w:w="4100" w:type="dxa"/>
            <w:tcBorders>
              <w:top w:val="nil"/>
              <w:left w:val="nil"/>
              <w:bottom w:val="single" w:color="auto" w:sz="4" w:space="0"/>
              <w:right w:val="single" w:color="auto" w:sz="4" w:space="0"/>
            </w:tcBorders>
            <w:shd w:val="clear" w:color="auto" w:fill="auto"/>
            <w:noWrap/>
            <w:vAlign w:val="center"/>
          </w:tcPr>
          <w:p w14:paraId="3618DB29">
            <w:pPr>
              <w:widowControl/>
              <w:jc w:val="left"/>
              <w:rPr>
                <w:rFonts w:ascii="宋体" w:hAnsi="宋体" w:eastAsia="宋体" w:cs="宋体"/>
                <w:color w:val="auto"/>
                <w:kern w:val="0"/>
                <w:sz w:val="22"/>
              </w:rPr>
            </w:pPr>
            <w:r>
              <w:rPr>
                <w:rFonts w:hint="eastAsia" w:ascii="宋体" w:hAnsi="宋体" w:eastAsia="宋体" w:cs="宋体"/>
                <w:color w:val="auto"/>
                <w:kern w:val="0"/>
                <w:sz w:val="22"/>
              </w:rPr>
              <w:t>8#电梯</w:t>
            </w:r>
          </w:p>
        </w:tc>
        <w:tc>
          <w:tcPr>
            <w:tcW w:w="2200" w:type="dxa"/>
            <w:tcBorders>
              <w:top w:val="nil"/>
              <w:left w:val="nil"/>
              <w:bottom w:val="single" w:color="auto" w:sz="4" w:space="0"/>
              <w:right w:val="single" w:color="auto" w:sz="4" w:space="0"/>
            </w:tcBorders>
            <w:shd w:val="clear" w:color="auto" w:fill="auto"/>
            <w:noWrap/>
            <w:vAlign w:val="center"/>
          </w:tcPr>
          <w:p w14:paraId="6F5B0B57">
            <w:pPr>
              <w:widowControl/>
              <w:jc w:val="center"/>
              <w:rPr>
                <w:rFonts w:ascii="宋体" w:hAnsi="宋体" w:eastAsia="宋体" w:cs="宋体"/>
                <w:color w:val="auto"/>
                <w:kern w:val="0"/>
                <w:sz w:val="22"/>
              </w:rPr>
            </w:pPr>
            <w:r>
              <w:rPr>
                <w:rFonts w:hint="eastAsia" w:ascii="宋体" w:hAnsi="宋体" w:eastAsia="宋体" w:cs="宋体"/>
                <w:color w:val="auto"/>
                <w:kern w:val="0"/>
                <w:sz w:val="22"/>
              </w:rPr>
              <w:t>上</w:t>
            </w:r>
          </w:p>
        </w:tc>
        <w:tc>
          <w:tcPr>
            <w:tcW w:w="1520" w:type="dxa"/>
            <w:tcBorders>
              <w:top w:val="nil"/>
              <w:left w:val="nil"/>
              <w:bottom w:val="single" w:color="auto" w:sz="4" w:space="0"/>
              <w:right w:val="single" w:color="auto" w:sz="4" w:space="0"/>
            </w:tcBorders>
            <w:shd w:val="clear" w:color="auto" w:fill="auto"/>
            <w:noWrap/>
            <w:vAlign w:val="center"/>
          </w:tcPr>
          <w:p w14:paraId="727DB462">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r>
      <w:tr w14:paraId="67F21D46">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vAlign w:val="center"/>
          </w:tcPr>
          <w:p w14:paraId="2A4A7AF0">
            <w:pPr>
              <w:widowControl/>
              <w:jc w:val="left"/>
              <w:rPr>
                <w:rFonts w:ascii="宋体" w:hAnsi="宋体" w:eastAsia="宋体" w:cs="宋体"/>
                <w:b/>
                <w:bCs/>
                <w:color w:val="auto"/>
                <w:kern w:val="0"/>
                <w:sz w:val="22"/>
              </w:rPr>
            </w:pPr>
          </w:p>
        </w:tc>
        <w:tc>
          <w:tcPr>
            <w:tcW w:w="4100" w:type="dxa"/>
            <w:tcBorders>
              <w:top w:val="nil"/>
              <w:left w:val="nil"/>
              <w:bottom w:val="single" w:color="auto" w:sz="4" w:space="0"/>
              <w:right w:val="single" w:color="auto" w:sz="4" w:space="0"/>
            </w:tcBorders>
            <w:shd w:val="clear" w:color="auto" w:fill="auto"/>
            <w:noWrap/>
            <w:vAlign w:val="center"/>
          </w:tcPr>
          <w:p w14:paraId="0F736AFD">
            <w:pPr>
              <w:widowControl/>
              <w:jc w:val="left"/>
              <w:rPr>
                <w:rFonts w:ascii="宋体" w:hAnsi="宋体" w:eastAsia="宋体" w:cs="宋体"/>
                <w:color w:val="auto"/>
                <w:kern w:val="0"/>
                <w:sz w:val="22"/>
              </w:rPr>
            </w:pPr>
            <w:r>
              <w:rPr>
                <w:rFonts w:hint="eastAsia" w:ascii="宋体" w:hAnsi="宋体" w:eastAsia="宋体" w:cs="宋体"/>
                <w:color w:val="auto"/>
                <w:kern w:val="0"/>
                <w:sz w:val="22"/>
              </w:rPr>
              <w:t>9#电梯</w:t>
            </w:r>
          </w:p>
        </w:tc>
        <w:tc>
          <w:tcPr>
            <w:tcW w:w="2200" w:type="dxa"/>
            <w:tcBorders>
              <w:top w:val="nil"/>
              <w:left w:val="nil"/>
              <w:bottom w:val="single" w:color="auto" w:sz="4" w:space="0"/>
              <w:right w:val="single" w:color="auto" w:sz="4" w:space="0"/>
            </w:tcBorders>
            <w:shd w:val="clear" w:color="auto" w:fill="auto"/>
            <w:noWrap/>
            <w:vAlign w:val="center"/>
          </w:tcPr>
          <w:p w14:paraId="4789AAFC">
            <w:pPr>
              <w:widowControl/>
              <w:jc w:val="center"/>
              <w:rPr>
                <w:rFonts w:ascii="宋体" w:hAnsi="宋体" w:eastAsia="宋体" w:cs="宋体"/>
                <w:color w:val="auto"/>
                <w:kern w:val="0"/>
                <w:sz w:val="22"/>
              </w:rPr>
            </w:pPr>
            <w:r>
              <w:rPr>
                <w:rFonts w:hint="eastAsia" w:ascii="宋体" w:hAnsi="宋体" w:eastAsia="宋体" w:cs="宋体"/>
                <w:color w:val="auto"/>
                <w:kern w:val="0"/>
                <w:sz w:val="22"/>
              </w:rPr>
              <w:t>上</w:t>
            </w:r>
          </w:p>
        </w:tc>
        <w:tc>
          <w:tcPr>
            <w:tcW w:w="1520" w:type="dxa"/>
            <w:tcBorders>
              <w:top w:val="nil"/>
              <w:left w:val="nil"/>
              <w:bottom w:val="single" w:color="auto" w:sz="4" w:space="0"/>
              <w:right w:val="single" w:color="auto" w:sz="4" w:space="0"/>
            </w:tcBorders>
            <w:shd w:val="clear" w:color="auto" w:fill="auto"/>
            <w:noWrap/>
            <w:vAlign w:val="center"/>
          </w:tcPr>
          <w:p w14:paraId="0006E670">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r>
      <w:tr w14:paraId="2D488240">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vAlign w:val="center"/>
          </w:tcPr>
          <w:p w14:paraId="63ABD2EF">
            <w:pPr>
              <w:widowControl/>
              <w:jc w:val="left"/>
              <w:rPr>
                <w:rFonts w:ascii="宋体" w:hAnsi="宋体" w:eastAsia="宋体" w:cs="宋体"/>
                <w:b/>
                <w:bCs/>
                <w:color w:val="auto"/>
                <w:kern w:val="0"/>
                <w:sz w:val="22"/>
              </w:rPr>
            </w:pPr>
          </w:p>
        </w:tc>
        <w:tc>
          <w:tcPr>
            <w:tcW w:w="4100" w:type="dxa"/>
            <w:tcBorders>
              <w:top w:val="nil"/>
              <w:left w:val="nil"/>
              <w:bottom w:val="single" w:color="auto" w:sz="4" w:space="0"/>
              <w:right w:val="single" w:color="auto" w:sz="4" w:space="0"/>
            </w:tcBorders>
            <w:shd w:val="clear" w:color="auto" w:fill="auto"/>
            <w:noWrap/>
            <w:vAlign w:val="center"/>
          </w:tcPr>
          <w:p w14:paraId="3213D005">
            <w:pPr>
              <w:widowControl/>
              <w:jc w:val="left"/>
              <w:rPr>
                <w:rFonts w:ascii="宋体" w:hAnsi="宋体" w:eastAsia="宋体" w:cs="宋体"/>
                <w:color w:val="auto"/>
                <w:kern w:val="0"/>
                <w:sz w:val="22"/>
              </w:rPr>
            </w:pPr>
            <w:r>
              <w:rPr>
                <w:rFonts w:hint="eastAsia" w:ascii="宋体" w:hAnsi="宋体" w:eastAsia="宋体" w:cs="宋体"/>
                <w:color w:val="auto"/>
                <w:kern w:val="0"/>
                <w:sz w:val="22"/>
              </w:rPr>
              <w:t>8#、9#电梯厅旁下负二走火梯门（1）</w:t>
            </w:r>
          </w:p>
        </w:tc>
        <w:tc>
          <w:tcPr>
            <w:tcW w:w="2200" w:type="dxa"/>
            <w:tcBorders>
              <w:top w:val="nil"/>
              <w:left w:val="nil"/>
              <w:bottom w:val="single" w:color="auto" w:sz="4" w:space="0"/>
              <w:right w:val="single" w:color="auto" w:sz="4" w:space="0"/>
            </w:tcBorders>
            <w:shd w:val="clear" w:color="auto" w:fill="auto"/>
            <w:noWrap/>
            <w:vAlign w:val="center"/>
          </w:tcPr>
          <w:p w14:paraId="021DAF72">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c>
          <w:tcPr>
            <w:tcW w:w="1520" w:type="dxa"/>
            <w:tcBorders>
              <w:top w:val="nil"/>
              <w:left w:val="nil"/>
              <w:bottom w:val="single" w:color="auto" w:sz="4" w:space="0"/>
              <w:right w:val="single" w:color="auto" w:sz="4" w:space="0"/>
            </w:tcBorders>
            <w:shd w:val="clear" w:color="auto" w:fill="auto"/>
            <w:noWrap/>
            <w:vAlign w:val="center"/>
          </w:tcPr>
          <w:p w14:paraId="2A059DC4">
            <w:pPr>
              <w:widowControl/>
              <w:jc w:val="center"/>
              <w:rPr>
                <w:rFonts w:ascii="宋体" w:hAnsi="宋体" w:eastAsia="宋体" w:cs="宋体"/>
                <w:color w:val="auto"/>
                <w:kern w:val="0"/>
                <w:sz w:val="22"/>
              </w:rPr>
            </w:pPr>
            <w:r>
              <w:rPr>
                <w:rFonts w:hint="eastAsia" w:ascii="宋体" w:hAnsi="宋体" w:eastAsia="宋体" w:cs="宋体"/>
                <w:color w:val="auto"/>
                <w:kern w:val="0"/>
                <w:sz w:val="22"/>
              </w:rPr>
              <w:t>1</w:t>
            </w:r>
          </w:p>
        </w:tc>
      </w:tr>
      <w:tr w14:paraId="29E552A6">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vAlign w:val="center"/>
          </w:tcPr>
          <w:p w14:paraId="0BDD8AB8">
            <w:pPr>
              <w:widowControl/>
              <w:jc w:val="left"/>
              <w:rPr>
                <w:rFonts w:ascii="宋体" w:hAnsi="宋体" w:eastAsia="宋体" w:cs="宋体"/>
                <w:b/>
                <w:bCs/>
                <w:color w:val="auto"/>
                <w:kern w:val="0"/>
                <w:sz w:val="22"/>
              </w:rPr>
            </w:pPr>
          </w:p>
        </w:tc>
        <w:tc>
          <w:tcPr>
            <w:tcW w:w="4100" w:type="dxa"/>
            <w:tcBorders>
              <w:top w:val="nil"/>
              <w:left w:val="nil"/>
              <w:bottom w:val="single" w:color="auto" w:sz="4" w:space="0"/>
              <w:right w:val="single" w:color="auto" w:sz="4" w:space="0"/>
            </w:tcBorders>
            <w:shd w:val="clear" w:color="auto" w:fill="auto"/>
            <w:noWrap/>
            <w:vAlign w:val="center"/>
          </w:tcPr>
          <w:p w14:paraId="5BE35077">
            <w:pPr>
              <w:widowControl/>
              <w:jc w:val="left"/>
              <w:rPr>
                <w:rFonts w:ascii="宋体" w:hAnsi="宋体" w:eastAsia="宋体" w:cs="宋体"/>
                <w:color w:val="auto"/>
                <w:kern w:val="0"/>
                <w:sz w:val="22"/>
              </w:rPr>
            </w:pPr>
            <w:r>
              <w:rPr>
                <w:rFonts w:hint="eastAsia" w:ascii="宋体" w:hAnsi="宋体" w:eastAsia="宋体" w:cs="宋体"/>
                <w:color w:val="auto"/>
                <w:kern w:val="0"/>
                <w:sz w:val="22"/>
              </w:rPr>
              <w:t>8#、9#电梯厅旁下负二走火梯门（2）</w:t>
            </w:r>
          </w:p>
        </w:tc>
        <w:tc>
          <w:tcPr>
            <w:tcW w:w="2200" w:type="dxa"/>
            <w:tcBorders>
              <w:top w:val="nil"/>
              <w:left w:val="nil"/>
              <w:bottom w:val="single" w:color="auto" w:sz="4" w:space="0"/>
              <w:right w:val="single" w:color="auto" w:sz="4" w:space="0"/>
            </w:tcBorders>
            <w:shd w:val="clear" w:color="auto" w:fill="auto"/>
            <w:noWrap/>
            <w:vAlign w:val="center"/>
          </w:tcPr>
          <w:p w14:paraId="3E111DDC">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c>
          <w:tcPr>
            <w:tcW w:w="1520" w:type="dxa"/>
            <w:tcBorders>
              <w:top w:val="nil"/>
              <w:left w:val="nil"/>
              <w:bottom w:val="single" w:color="auto" w:sz="4" w:space="0"/>
              <w:right w:val="single" w:color="auto" w:sz="4" w:space="0"/>
            </w:tcBorders>
            <w:shd w:val="clear" w:color="auto" w:fill="auto"/>
            <w:noWrap/>
            <w:vAlign w:val="center"/>
          </w:tcPr>
          <w:p w14:paraId="23A51ACF">
            <w:pPr>
              <w:widowControl/>
              <w:jc w:val="center"/>
              <w:rPr>
                <w:rFonts w:ascii="宋体" w:hAnsi="宋体" w:eastAsia="宋体" w:cs="宋体"/>
                <w:color w:val="auto"/>
                <w:kern w:val="0"/>
                <w:sz w:val="22"/>
              </w:rPr>
            </w:pPr>
            <w:r>
              <w:rPr>
                <w:rFonts w:hint="eastAsia" w:ascii="宋体" w:hAnsi="宋体" w:eastAsia="宋体" w:cs="宋体"/>
                <w:color w:val="auto"/>
                <w:kern w:val="0"/>
                <w:sz w:val="22"/>
              </w:rPr>
              <w:t>1</w:t>
            </w:r>
          </w:p>
        </w:tc>
      </w:tr>
      <w:tr w14:paraId="6FB7906D">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vAlign w:val="center"/>
          </w:tcPr>
          <w:p w14:paraId="355FE714">
            <w:pPr>
              <w:widowControl/>
              <w:jc w:val="left"/>
              <w:rPr>
                <w:rFonts w:ascii="宋体" w:hAnsi="宋体" w:eastAsia="宋体" w:cs="宋体"/>
                <w:b/>
                <w:bCs/>
                <w:color w:val="auto"/>
                <w:kern w:val="0"/>
                <w:sz w:val="22"/>
              </w:rPr>
            </w:pPr>
          </w:p>
        </w:tc>
        <w:tc>
          <w:tcPr>
            <w:tcW w:w="4100" w:type="dxa"/>
            <w:tcBorders>
              <w:top w:val="nil"/>
              <w:left w:val="nil"/>
              <w:bottom w:val="single" w:color="auto" w:sz="4" w:space="0"/>
              <w:right w:val="single" w:color="auto" w:sz="4" w:space="0"/>
            </w:tcBorders>
            <w:shd w:val="clear" w:color="auto" w:fill="auto"/>
            <w:noWrap/>
            <w:vAlign w:val="center"/>
          </w:tcPr>
          <w:p w14:paraId="6BB1F743">
            <w:pPr>
              <w:widowControl/>
              <w:jc w:val="left"/>
              <w:rPr>
                <w:rFonts w:ascii="宋体" w:hAnsi="宋体" w:eastAsia="宋体" w:cs="宋体"/>
                <w:color w:val="auto"/>
                <w:kern w:val="0"/>
                <w:sz w:val="22"/>
              </w:rPr>
            </w:pPr>
            <w:r>
              <w:rPr>
                <w:rFonts w:hint="eastAsia" w:ascii="宋体" w:hAnsi="宋体" w:eastAsia="宋体" w:cs="宋体"/>
                <w:color w:val="auto"/>
                <w:kern w:val="0"/>
                <w:sz w:val="22"/>
              </w:rPr>
              <w:t>10#电梯</w:t>
            </w:r>
          </w:p>
        </w:tc>
        <w:tc>
          <w:tcPr>
            <w:tcW w:w="2200" w:type="dxa"/>
            <w:tcBorders>
              <w:top w:val="nil"/>
              <w:left w:val="nil"/>
              <w:bottom w:val="single" w:color="auto" w:sz="4" w:space="0"/>
              <w:right w:val="single" w:color="auto" w:sz="4" w:space="0"/>
            </w:tcBorders>
            <w:shd w:val="clear" w:color="auto" w:fill="auto"/>
            <w:noWrap/>
            <w:vAlign w:val="center"/>
          </w:tcPr>
          <w:p w14:paraId="089D2E2B">
            <w:pPr>
              <w:widowControl/>
              <w:jc w:val="center"/>
              <w:rPr>
                <w:rFonts w:ascii="宋体" w:hAnsi="宋体" w:eastAsia="宋体" w:cs="宋体"/>
                <w:color w:val="auto"/>
                <w:kern w:val="0"/>
                <w:sz w:val="22"/>
              </w:rPr>
            </w:pPr>
            <w:r>
              <w:rPr>
                <w:rFonts w:hint="eastAsia" w:ascii="宋体" w:hAnsi="宋体" w:eastAsia="宋体" w:cs="宋体"/>
                <w:color w:val="auto"/>
                <w:kern w:val="0"/>
                <w:sz w:val="22"/>
              </w:rPr>
              <w:t>上、下</w:t>
            </w:r>
          </w:p>
        </w:tc>
        <w:tc>
          <w:tcPr>
            <w:tcW w:w="1520" w:type="dxa"/>
            <w:tcBorders>
              <w:top w:val="nil"/>
              <w:left w:val="nil"/>
              <w:bottom w:val="single" w:color="auto" w:sz="4" w:space="0"/>
              <w:right w:val="single" w:color="auto" w:sz="4" w:space="0"/>
            </w:tcBorders>
            <w:shd w:val="clear" w:color="auto" w:fill="auto"/>
            <w:noWrap/>
            <w:vAlign w:val="center"/>
          </w:tcPr>
          <w:p w14:paraId="500476F0">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r>
      <w:tr w14:paraId="32879933">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vAlign w:val="center"/>
          </w:tcPr>
          <w:p w14:paraId="60FB55AA">
            <w:pPr>
              <w:widowControl/>
              <w:jc w:val="left"/>
              <w:rPr>
                <w:rFonts w:ascii="宋体" w:hAnsi="宋体" w:eastAsia="宋体" w:cs="宋体"/>
                <w:b/>
                <w:bCs/>
                <w:color w:val="auto"/>
                <w:kern w:val="0"/>
                <w:sz w:val="22"/>
              </w:rPr>
            </w:pPr>
          </w:p>
        </w:tc>
        <w:tc>
          <w:tcPr>
            <w:tcW w:w="4100" w:type="dxa"/>
            <w:tcBorders>
              <w:top w:val="nil"/>
              <w:left w:val="nil"/>
              <w:bottom w:val="single" w:color="auto" w:sz="4" w:space="0"/>
              <w:right w:val="single" w:color="auto" w:sz="4" w:space="0"/>
            </w:tcBorders>
            <w:shd w:val="clear" w:color="auto" w:fill="auto"/>
            <w:noWrap/>
            <w:vAlign w:val="center"/>
          </w:tcPr>
          <w:p w14:paraId="003B9CCA">
            <w:pPr>
              <w:widowControl/>
              <w:jc w:val="left"/>
              <w:rPr>
                <w:rFonts w:ascii="宋体" w:hAnsi="宋体" w:eastAsia="宋体" w:cs="宋体"/>
                <w:color w:val="auto"/>
                <w:kern w:val="0"/>
                <w:sz w:val="22"/>
              </w:rPr>
            </w:pPr>
            <w:r>
              <w:rPr>
                <w:rFonts w:hint="eastAsia" w:ascii="宋体" w:hAnsi="宋体" w:eastAsia="宋体" w:cs="宋体"/>
                <w:color w:val="auto"/>
                <w:kern w:val="0"/>
                <w:sz w:val="22"/>
              </w:rPr>
              <w:t>10#电梯旁走火梯门</w:t>
            </w:r>
          </w:p>
        </w:tc>
        <w:tc>
          <w:tcPr>
            <w:tcW w:w="2200" w:type="dxa"/>
            <w:tcBorders>
              <w:top w:val="nil"/>
              <w:left w:val="nil"/>
              <w:bottom w:val="single" w:color="auto" w:sz="4" w:space="0"/>
              <w:right w:val="single" w:color="auto" w:sz="4" w:space="0"/>
            </w:tcBorders>
            <w:shd w:val="clear" w:color="auto" w:fill="auto"/>
            <w:noWrap/>
            <w:vAlign w:val="center"/>
          </w:tcPr>
          <w:p w14:paraId="49DF3195">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c>
          <w:tcPr>
            <w:tcW w:w="1520" w:type="dxa"/>
            <w:tcBorders>
              <w:top w:val="nil"/>
              <w:left w:val="nil"/>
              <w:bottom w:val="single" w:color="auto" w:sz="4" w:space="0"/>
              <w:right w:val="single" w:color="auto" w:sz="4" w:space="0"/>
            </w:tcBorders>
            <w:shd w:val="clear" w:color="auto" w:fill="auto"/>
            <w:noWrap/>
            <w:vAlign w:val="center"/>
          </w:tcPr>
          <w:p w14:paraId="7FCFBD3A">
            <w:pPr>
              <w:widowControl/>
              <w:jc w:val="center"/>
              <w:rPr>
                <w:rFonts w:ascii="宋体" w:hAnsi="宋体" w:eastAsia="宋体" w:cs="宋体"/>
                <w:color w:val="auto"/>
                <w:kern w:val="0"/>
                <w:sz w:val="22"/>
              </w:rPr>
            </w:pPr>
            <w:r>
              <w:rPr>
                <w:rFonts w:hint="eastAsia" w:ascii="宋体" w:hAnsi="宋体" w:eastAsia="宋体" w:cs="宋体"/>
                <w:color w:val="auto"/>
                <w:kern w:val="0"/>
                <w:sz w:val="22"/>
              </w:rPr>
              <w:t>1</w:t>
            </w:r>
          </w:p>
        </w:tc>
      </w:tr>
      <w:tr w14:paraId="1B1A4E9B">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vAlign w:val="center"/>
          </w:tcPr>
          <w:p w14:paraId="57DA0C61">
            <w:pPr>
              <w:widowControl/>
              <w:jc w:val="left"/>
              <w:rPr>
                <w:rFonts w:ascii="宋体" w:hAnsi="宋体" w:eastAsia="宋体" w:cs="宋体"/>
                <w:b/>
                <w:bCs/>
                <w:color w:val="auto"/>
                <w:kern w:val="0"/>
                <w:sz w:val="22"/>
              </w:rPr>
            </w:pPr>
          </w:p>
        </w:tc>
        <w:tc>
          <w:tcPr>
            <w:tcW w:w="4100" w:type="dxa"/>
            <w:tcBorders>
              <w:top w:val="nil"/>
              <w:left w:val="nil"/>
              <w:bottom w:val="single" w:color="auto" w:sz="4" w:space="0"/>
              <w:right w:val="single" w:color="auto" w:sz="4" w:space="0"/>
            </w:tcBorders>
            <w:shd w:val="clear" w:color="auto" w:fill="auto"/>
            <w:noWrap/>
            <w:vAlign w:val="center"/>
          </w:tcPr>
          <w:p w14:paraId="750421FF">
            <w:pPr>
              <w:widowControl/>
              <w:jc w:val="left"/>
              <w:rPr>
                <w:rFonts w:ascii="宋体" w:hAnsi="宋体" w:eastAsia="宋体" w:cs="宋体"/>
                <w:color w:val="auto"/>
                <w:kern w:val="0"/>
                <w:sz w:val="22"/>
              </w:rPr>
            </w:pPr>
            <w:r>
              <w:rPr>
                <w:rFonts w:hint="eastAsia" w:ascii="宋体" w:hAnsi="宋体" w:eastAsia="宋体" w:cs="宋体"/>
                <w:color w:val="auto"/>
                <w:kern w:val="0"/>
                <w:sz w:val="22"/>
              </w:rPr>
              <w:t>11#电梯</w:t>
            </w:r>
          </w:p>
        </w:tc>
        <w:tc>
          <w:tcPr>
            <w:tcW w:w="2200" w:type="dxa"/>
            <w:tcBorders>
              <w:top w:val="nil"/>
              <w:left w:val="nil"/>
              <w:bottom w:val="single" w:color="auto" w:sz="4" w:space="0"/>
              <w:right w:val="single" w:color="auto" w:sz="4" w:space="0"/>
            </w:tcBorders>
            <w:shd w:val="clear" w:color="auto" w:fill="auto"/>
            <w:noWrap/>
            <w:vAlign w:val="center"/>
          </w:tcPr>
          <w:p w14:paraId="0B3F423C">
            <w:pPr>
              <w:widowControl/>
              <w:jc w:val="center"/>
              <w:rPr>
                <w:rFonts w:ascii="宋体" w:hAnsi="宋体" w:eastAsia="宋体" w:cs="宋体"/>
                <w:color w:val="auto"/>
                <w:kern w:val="0"/>
                <w:sz w:val="22"/>
              </w:rPr>
            </w:pPr>
            <w:r>
              <w:rPr>
                <w:rFonts w:hint="eastAsia" w:ascii="宋体" w:hAnsi="宋体" w:eastAsia="宋体" w:cs="宋体"/>
                <w:color w:val="auto"/>
                <w:kern w:val="0"/>
                <w:sz w:val="22"/>
              </w:rPr>
              <w:t>上</w:t>
            </w:r>
          </w:p>
        </w:tc>
        <w:tc>
          <w:tcPr>
            <w:tcW w:w="1520" w:type="dxa"/>
            <w:tcBorders>
              <w:top w:val="nil"/>
              <w:left w:val="nil"/>
              <w:bottom w:val="single" w:color="auto" w:sz="4" w:space="0"/>
              <w:right w:val="single" w:color="auto" w:sz="4" w:space="0"/>
            </w:tcBorders>
            <w:shd w:val="clear" w:color="auto" w:fill="auto"/>
            <w:noWrap/>
            <w:vAlign w:val="center"/>
          </w:tcPr>
          <w:p w14:paraId="193F2FC6">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r>
      <w:tr w14:paraId="03B95F32">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vAlign w:val="center"/>
          </w:tcPr>
          <w:p w14:paraId="051CAD89">
            <w:pPr>
              <w:widowControl/>
              <w:jc w:val="left"/>
              <w:rPr>
                <w:rFonts w:ascii="宋体" w:hAnsi="宋体" w:eastAsia="宋体" w:cs="宋体"/>
                <w:b/>
                <w:bCs/>
                <w:color w:val="auto"/>
                <w:kern w:val="0"/>
                <w:sz w:val="22"/>
              </w:rPr>
            </w:pPr>
          </w:p>
        </w:tc>
        <w:tc>
          <w:tcPr>
            <w:tcW w:w="4100" w:type="dxa"/>
            <w:tcBorders>
              <w:top w:val="nil"/>
              <w:left w:val="nil"/>
              <w:bottom w:val="single" w:color="auto" w:sz="4" w:space="0"/>
              <w:right w:val="single" w:color="auto" w:sz="4" w:space="0"/>
            </w:tcBorders>
            <w:shd w:val="clear" w:color="auto" w:fill="auto"/>
            <w:noWrap/>
            <w:vAlign w:val="center"/>
          </w:tcPr>
          <w:p w14:paraId="5D19A806">
            <w:pPr>
              <w:widowControl/>
              <w:jc w:val="left"/>
              <w:rPr>
                <w:rFonts w:ascii="宋体" w:hAnsi="宋体" w:eastAsia="宋体" w:cs="宋体"/>
                <w:color w:val="auto"/>
                <w:kern w:val="0"/>
                <w:sz w:val="22"/>
              </w:rPr>
            </w:pPr>
            <w:r>
              <w:rPr>
                <w:rFonts w:hint="eastAsia" w:ascii="宋体" w:hAnsi="宋体" w:eastAsia="宋体" w:cs="宋体"/>
                <w:color w:val="auto"/>
                <w:kern w:val="0"/>
                <w:sz w:val="22"/>
              </w:rPr>
              <w:t>12#电梯</w:t>
            </w:r>
          </w:p>
        </w:tc>
        <w:tc>
          <w:tcPr>
            <w:tcW w:w="2200" w:type="dxa"/>
            <w:tcBorders>
              <w:top w:val="nil"/>
              <w:left w:val="nil"/>
              <w:bottom w:val="single" w:color="auto" w:sz="4" w:space="0"/>
              <w:right w:val="single" w:color="auto" w:sz="4" w:space="0"/>
            </w:tcBorders>
            <w:shd w:val="clear" w:color="auto" w:fill="auto"/>
            <w:noWrap/>
            <w:vAlign w:val="center"/>
          </w:tcPr>
          <w:p w14:paraId="4F8FF4A9">
            <w:pPr>
              <w:widowControl/>
              <w:jc w:val="center"/>
              <w:rPr>
                <w:rFonts w:ascii="宋体" w:hAnsi="宋体" w:eastAsia="宋体" w:cs="宋体"/>
                <w:color w:val="auto"/>
                <w:kern w:val="0"/>
                <w:sz w:val="22"/>
              </w:rPr>
            </w:pPr>
            <w:r>
              <w:rPr>
                <w:rFonts w:hint="eastAsia" w:ascii="宋体" w:hAnsi="宋体" w:eastAsia="宋体" w:cs="宋体"/>
                <w:color w:val="auto"/>
                <w:kern w:val="0"/>
                <w:sz w:val="22"/>
              </w:rPr>
              <w:t>上、下</w:t>
            </w:r>
          </w:p>
        </w:tc>
        <w:tc>
          <w:tcPr>
            <w:tcW w:w="1520" w:type="dxa"/>
            <w:tcBorders>
              <w:top w:val="nil"/>
              <w:left w:val="nil"/>
              <w:bottom w:val="single" w:color="auto" w:sz="4" w:space="0"/>
              <w:right w:val="single" w:color="auto" w:sz="4" w:space="0"/>
            </w:tcBorders>
            <w:shd w:val="clear" w:color="auto" w:fill="auto"/>
            <w:noWrap/>
            <w:vAlign w:val="center"/>
          </w:tcPr>
          <w:p w14:paraId="39B52496">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r>
      <w:tr w14:paraId="1FB61D26">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vAlign w:val="center"/>
          </w:tcPr>
          <w:p w14:paraId="3414056C">
            <w:pPr>
              <w:widowControl/>
              <w:jc w:val="left"/>
              <w:rPr>
                <w:rFonts w:ascii="宋体" w:hAnsi="宋体" w:eastAsia="宋体" w:cs="宋体"/>
                <w:b/>
                <w:bCs/>
                <w:color w:val="auto"/>
                <w:kern w:val="0"/>
                <w:sz w:val="22"/>
              </w:rPr>
            </w:pPr>
          </w:p>
        </w:tc>
        <w:tc>
          <w:tcPr>
            <w:tcW w:w="4100" w:type="dxa"/>
            <w:tcBorders>
              <w:top w:val="nil"/>
              <w:left w:val="nil"/>
              <w:bottom w:val="single" w:color="auto" w:sz="4" w:space="0"/>
              <w:right w:val="single" w:color="auto" w:sz="4" w:space="0"/>
            </w:tcBorders>
            <w:shd w:val="clear" w:color="auto" w:fill="auto"/>
            <w:noWrap/>
            <w:vAlign w:val="center"/>
          </w:tcPr>
          <w:p w14:paraId="46487DE0">
            <w:pPr>
              <w:widowControl/>
              <w:jc w:val="left"/>
              <w:rPr>
                <w:rFonts w:ascii="宋体" w:hAnsi="宋体" w:eastAsia="宋体" w:cs="宋体"/>
                <w:color w:val="auto"/>
                <w:kern w:val="0"/>
                <w:sz w:val="22"/>
              </w:rPr>
            </w:pPr>
            <w:r>
              <w:rPr>
                <w:rFonts w:hint="eastAsia" w:ascii="宋体" w:hAnsi="宋体" w:eastAsia="宋体" w:cs="宋体"/>
                <w:color w:val="auto"/>
                <w:kern w:val="0"/>
                <w:sz w:val="22"/>
              </w:rPr>
              <w:t>12#电梯旁走火梯门（1）</w:t>
            </w:r>
          </w:p>
        </w:tc>
        <w:tc>
          <w:tcPr>
            <w:tcW w:w="2200" w:type="dxa"/>
            <w:tcBorders>
              <w:top w:val="nil"/>
              <w:left w:val="nil"/>
              <w:bottom w:val="single" w:color="auto" w:sz="4" w:space="0"/>
              <w:right w:val="single" w:color="auto" w:sz="4" w:space="0"/>
            </w:tcBorders>
            <w:shd w:val="clear" w:color="auto" w:fill="auto"/>
            <w:noWrap/>
            <w:vAlign w:val="center"/>
          </w:tcPr>
          <w:p w14:paraId="1A60E978">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c>
          <w:tcPr>
            <w:tcW w:w="1520" w:type="dxa"/>
            <w:tcBorders>
              <w:top w:val="nil"/>
              <w:left w:val="nil"/>
              <w:bottom w:val="single" w:color="auto" w:sz="4" w:space="0"/>
              <w:right w:val="single" w:color="auto" w:sz="4" w:space="0"/>
            </w:tcBorders>
            <w:shd w:val="clear" w:color="auto" w:fill="auto"/>
            <w:noWrap/>
            <w:vAlign w:val="center"/>
          </w:tcPr>
          <w:p w14:paraId="6A58F7D1">
            <w:pPr>
              <w:widowControl/>
              <w:jc w:val="center"/>
              <w:rPr>
                <w:rFonts w:ascii="宋体" w:hAnsi="宋体" w:eastAsia="宋体" w:cs="宋体"/>
                <w:color w:val="auto"/>
                <w:kern w:val="0"/>
                <w:sz w:val="22"/>
              </w:rPr>
            </w:pPr>
            <w:r>
              <w:rPr>
                <w:rFonts w:hint="eastAsia" w:ascii="宋体" w:hAnsi="宋体" w:eastAsia="宋体" w:cs="宋体"/>
                <w:color w:val="auto"/>
                <w:kern w:val="0"/>
                <w:sz w:val="22"/>
              </w:rPr>
              <w:t>1</w:t>
            </w:r>
          </w:p>
        </w:tc>
      </w:tr>
      <w:tr w14:paraId="3427DCE2">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vAlign w:val="center"/>
          </w:tcPr>
          <w:p w14:paraId="2B08D607">
            <w:pPr>
              <w:widowControl/>
              <w:jc w:val="left"/>
              <w:rPr>
                <w:rFonts w:ascii="宋体" w:hAnsi="宋体" w:eastAsia="宋体" w:cs="宋体"/>
                <w:b/>
                <w:bCs/>
                <w:color w:val="auto"/>
                <w:kern w:val="0"/>
                <w:sz w:val="22"/>
              </w:rPr>
            </w:pPr>
          </w:p>
        </w:tc>
        <w:tc>
          <w:tcPr>
            <w:tcW w:w="4100" w:type="dxa"/>
            <w:tcBorders>
              <w:top w:val="nil"/>
              <w:left w:val="nil"/>
              <w:bottom w:val="single" w:color="auto" w:sz="4" w:space="0"/>
              <w:right w:val="single" w:color="auto" w:sz="4" w:space="0"/>
            </w:tcBorders>
            <w:shd w:val="clear" w:color="auto" w:fill="auto"/>
            <w:noWrap/>
            <w:vAlign w:val="center"/>
          </w:tcPr>
          <w:p w14:paraId="4D9313C3">
            <w:pPr>
              <w:widowControl/>
              <w:jc w:val="left"/>
              <w:rPr>
                <w:rFonts w:ascii="宋体" w:hAnsi="宋体" w:eastAsia="宋体" w:cs="宋体"/>
                <w:color w:val="auto"/>
                <w:kern w:val="0"/>
                <w:sz w:val="22"/>
              </w:rPr>
            </w:pPr>
            <w:r>
              <w:rPr>
                <w:rFonts w:hint="eastAsia" w:ascii="宋体" w:hAnsi="宋体" w:eastAsia="宋体" w:cs="宋体"/>
                <w:color w:val="auto"/>
                <w:kern w:val="0"/>
                <w:sz w:val="22"/>
              </w:rPr>
              <w:t>12#电梯旁走火梯门（2）</w:t>
            </w:r>
          </w:p>
        </w:tc>
        <w:tc>
          <w:tcPr>
            <w:tcW w:w="2200" w:type="dxa"/>
            <w:tcBorders>
              <w:top w:val="nil"/>
              <w:left w:val="nil"/>
              <w:bottom w:val="single" w:color="auto" w:sz="4" w:space="0"/>
              <w:right w:val="single" w:color="auto" w:sz="4" w:space="0"/>
            </w:tcBorders>
            <w:shd w:val="clear" w:color="auto" w:fill="auto"/>
            <w:noWrap/>
            <w:vAlign w:val="center"/>
          </w:tcPr>
          <w:p w14:paraId="048BC43B">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c>
          <w:tcPr>
            <w:tcW w:w="1520" w:type="dxa"/>
            <w:tcBorders>
              <w:top w:val="nil"/>
              <w:left w:val="nil"/>
              <w:bottom w:val="single" w:color="auto" w:sz="4" w:space="0"/>
              <w:right w:val="single" w:color="auto" w:sz="4" w:space="0"/>
            </w:tcBorders>
            <w:shd w:val="clear" w:color="auto" w:fill="auto"/>
            <w:noWrap/>
            <w:vAlign w:val="center"/>
          </w:tcPr>
          <w:p w14:paraId="56268A20">
            <w:pPr>
              <w:widowControl/>
              <w:jc w:val="center"/>
              <w:rPr>
                <w:rFonts w:ascii="宋体" w:hAnsi="宋体" w:eastAsia="宋体" w:cs="宋体"/>
                <w:color w:val="auto"/>
                <w:kern w:val="0"/>
                <w:sz w:val="22"/>
              </w:rPr>
            </w:pPr>
            <w:r>
              <w:rPr>
                <w:rFonts w:hint="eastAsia" w:ascii="宋体" w:hAnsi="宋体" w:eastAsia="宋体" w:cs="宋体"/>
                <w:color w:val="auto"/>
                <w:kern w:val="0"/>
                <w:sz w:val="22"/>
              </w:rPr>
              <w:t>1</w:t>
            </w:r>
          </w:p>
        </w:tc>
      </w:tr>
      <w:tr w14:paraId="6BC837CD">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vAlign w:val="center"/>
          </w:tcPr>
          <w:p w14:paraId="6B8C4B20">
            <w:pPr>
              <w:widowControl/>
              <w:jc w:val="left"/>
              <w:rPr>
                <w:rFonts w:ascii="宋体" w:hAnsi="宋体" w:eastAsia="宋体" w:cs="宋体"/>
                <w:b/>
                <w:bCs/>
                <w:color w:val="auto"/>
                <w:kern w:val="0"/>
                <w:sz w:val="22"/>
              </w:rPr>
            </w:pPr>
          </w:p>
        </w:tc>
        <w:tc>
          <w:tcPr>
            <w:tcW w:w="4100" w:type="dxa"/>
            <w:tcBorders>
              <w:top w:val="nil"/>
              <w:left w:val="nil"/>
              <w:bottom w:val="single" w:color="auto" w:sz="4" w:space="0"/>
              <w:right w:val="single" w:color="auto" w:sz="4" w:space="0"/>
            </w:tcBorders>
            <w:shd w:val="clear" w:color="auto" w:fill="auto"/>
            <w:noWrap/>
            <w:vAlign w:val="center"/>
          </w:tcPr>
          <w:p w14:paraId="507E451D">
            <w:pPr>
              <w:widowControl/>
              <w:jc w:val="left"/>
              <w:rPr>
                <w:rFonts w:ascii="宋体" w:hAnsi="宋体" w:eastAsia="宋体" w:cs="宋体"/>
                <w:color w:val="auto"/>
                <w:kern w:val="0"/>
                <w:sz w:val="22"/>
              </w:rPr>
            </w:pPr>
            <w:r>
              <w:rPr>
                <w:rFonts w:hint="eastAsia" w:ascii="宋体" w:hAnsi="宋体" w:eastAsia="宋体" w:cs="宋体"/>
                <w:color w:val="auto"/>
                <w:kern w:val="0"/>
                <w:sz w:val="22"/>
              </w:rPr>
              <w:t>13#电梯</w:t>
            </w:r>
          </w:p>
        </w:tc>
        <w:tc>
          <w:tcPr>
            <w:tcW w:w="2200" w:type="dxa"/>
            <w:tcBorders>
              <w:top w:val="nil"/>
              <w:left w:val="nil"/>
              <w:bottom w:val="single" w:color="auto" w:sz="4" w:space="0"/>
              <w:right w:val="single" w:color="auto" w:sz="4" w:space="0"/>
            </w:tcBorders>
            <w:shd w:val="clear" w:color="auto" w:fill="auto"/>
            <w:noWrap/>
            <w:vAlign w:val="center"/>
          </w:tcPr>
          <w:p w14:paraId="6BBB20B3">
            <w:pPr>
              <w:widowControl/>
              <w:jc w:val="center"/>
              <w:rPr>
                <w:rFonts w:ascii="宋体" w:hAnsi="宋体" w:eastAsia="宋体" w:cs="宋体"/>
                <w:color w:val="auto"/>
                <w:kern w:val="0"/>
                <w:sz w:val="22"/>
              </w:rPr>
            </w:pPr>
            <w:r>
              <w:rPr>
                <w:rFonts w:hint="eastAsia" w:ascii="宋体" w:hAnsi="宋体" w:eastAsia="宋体" w:cs="宋体"/>
                <w:color w:val="auto"/>
                <w:kern w:val="0"/>
                <w:sz w:val="22"/>
              </w:rPr>
              <w:t>上、下</w:t>
            </w:r>
          </w:p>
        </w:tc>
        <w:tc>
          <w:tcPr>
            <w:tcW w:w="1520" w:type="dxa"/>
            <w:tcBorders>
              <w:top w:val="nil"/>
              <w:left w:val="nil"/>
              <w:bottom w:val="single" w:color="auto" w:sz="4" w:space="0"/>
              <w:right w:val="single" w:color="auto" w:sz="4" w:space="0"/>
            </w:tcBorders>
            <w:shd w:val="clear" w:color="auto" w:fill="auto"/>
            <w:noWrap/>
            <w:vAlign w:val="center"/>
          </w:tcPr>
          <w:p w14:paraId="56167C39">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r>
      <w:tr w14:paraId="76BF2330">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vAlign w:val="center"/>
          </w:tcPr>
          <w:p w14:paraId="726B03CE">
            <w:pPr>
              <w:widowControl/>
              <w:jc w:val="left"/>
              <w:rPr>
                <w:rFonts w:ascii="宋体" w:hAnsi="宋体" w:eastAsia="宋体" w:cs="宋体"/>
                <w:b/>
                <w:bCs/>
                <w:color w:val="auto"/>
                <w:kern w:val="0"/>
                <w:sz w:val="22"/>
              </w:rPr>
            </w:pPr>
          </w:p>
        </w:tc>
        <w:tc>
          <w:tcPr>
            <w:tcW w:w="4100" w:type="dxa"/>
            <w:tcBorders>
              <w:top w:val="nil"/>
              <w:left w:val="nil"/>
              <w:bottom w:val="single" w:color="auto" w:sz="4" w:space="0"/>
              <w:right w:val="single" w:color="auto" w:sz="4" w:space="0"/>
            </w:tcBorders>
            <w:shd w:val="clear" w:color="auto" w:fill="auto"/>
            <w:noWrap/>
            <w:vAlign w:val="center"/>
          </w:tcPr>
          <w:p w14:paraId="28C7F965">
            <w:pPr>
              <w:widowControl/>
              <w:jc w:val="left"/>
              <w:rPr>
                <w:rFonts w:ascii="宋体" w:hAnsi="宋体" w:eastAsia="宋体" w:cs="宋体"/>
                <w:color w:val="auto"/>
                <w:kern w:val="0"/>
                <w:sz w:val="22"/>
              </w:rPr>
            </w:pPr>
            <w:r>
              <w:rPr>
                <w:rFonts w:hint="eastAsia" w:ascii="宋体" w:hAnsi="宋体" w:eastAsia="宋体" w:cs="宋体"/>
                <w:color w:val="auto"/>
                <w:kern w:val="0"/>
                <w:sz w:val="22"/>
              </w:rPr>
              <w:t>17#电梯</w:t>
            </w:r>
          </w:p>
        </w:tc>
        <w:tc>
          <w:tcPr>
            <w:tcW w:w="2200" w:type="dxa"/>
            <w:tcBorders>
              <w:top w:val="nil"/>
              <w:left w:val="nil"/>
              <w:bottom w:val="single" w:color="auto" w:sz="4" w:space="0"/>
              <w:right w:val="single" w:color="auto" w:sz="4" w:space="0"/>
            </w:tcBorders>
            <w:shd w:val="clear" w:color="auto" w:fill="auto"/>
            <w:noWrap/>
            <w:vAlign w:val="center"/>
          </w:tcPr>
          <w:p w14:paraId="0869CFE6">
            <w:pPr>
              <w:widowControl/>
              <w:jc w:val="center"/>
              <w:rPr>
                <w:rFonts w:ascii="宋体" w:hAnsi="宋体" w:eastAsia="宋体" w:cs="宋体"/>
                <w:color w:val="auto"/>
                <w:kern w:val="0"/>
                <w:sz w:val="22"/>
              </w:rPr>
            </w:pPr>
            <w:r>
              <w:rPr>
                <w:rFonts w:hint="eastAsia" w:ascii="宋体" w:hAnsi="宋体" w:eastAsia="宋体" w:cs="宋体"/>
                <w:color w:val="auto"/>
                <w:kern w:val="0"/>
                <w:sz w:val="22"/>
              </w:rPr>
              <w:t>上、下</w:t>
            </w:r>
          </w:p>
        </w:tc>
        <w:tc>
          <w:tcPr>
            <w:tcW w:w="1520" w:type="dxa"/>
            <w:tcBorders>
              <w:top w:val="nil"/>
              <w:left w:val="nil"/>
              <w:bottom w:val="single" w:color="auto" w:sz="4" w:space="0"/>
              <w:right w:val="single" w:color="auto" w:sz="4" w:space="0"/>
            </w:tcBorders>
            <w:shd w:val="clear" w:color="auto" w:fill="auto"/>
            <w:noWrap/>
            <w:vAlign w:val="center"/>
          </w:tcPr>
          <w:p w14:paraId="70C478EE">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r>
      <w:tr w14:paraId="751D1A50">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vAlign w:val="center"/>
          </w:tcPr>
          <w:p w14:paraId="7B47F8A5">
            <w:pPr>
              <w:widowControl/>
              <w:jc w:val="left"/>
              <w:rPr>
                <w:rFonts w:ascii="宋体" w:hAnsi="宋体" w:eastAsia="宋体" w:cs="宋体"/>
                <w:b/>
                <w:bCs/>
                <w:color w:val="auto"/>
                <w:kern w:val="0"/>
                <w:sz w:val="22"/>
              </w:rPr>
            </w:pPr>
          </w:p>
        </w:tc>
        <w:tc>
          <w:tcPr>
            <w:tcW w:w="4100" w:type="dxa"/>
            <w:tcBorders>
              <w:top w:val="nil"/>
              <w:left w:val="nil"/>
              <w:bottom w:val="single" w:color="auto" w:sz="4" w:space="0"/>
              <w:right w:val="single" w:color="auto" w:sz="4" w:space="0"/>
            </w:tcBorders>
            <w:shd w:val="clear" w:color="auto" w:fill="auto"/>
            <w:noWrap/>
            <w:vAlign w:val="center"/>
          </w:tcPr>
          <w:p w14:paraId="2FFBC896">
            <w:pPr>
              <w:widowControl/>
              <w:jc w:val="left"/>
              <w:rPr>
                <w:rFonts w:ascii="宋体" w:hAnsi="宋体" w:eastAsia="宋体" w:cs="宋体"/>
                <w:color w:val="auto"/>
                <w:kern w:val="0"/>
                <w:sz w:val="22"/>
              </w:rPr>
            </w:pPr>
            <w:r>
              <w:rPr>
                <w:rFonts w:hint="eastAsia" w:ascii="宋体" w:hAnsi="宋体" w:eastAsia="宋体" w:cs="宋体"/>
                <w:color w:val="auto"/>
                <w:kern w:val="0"/>
                <w:sz w:val="22"/>
              </w:rPr>
              <w:t>18#电梯</w:t>
            </w:r>
          </w:p>
        </w:tc>
        <w:tc>
          <w:tcPr>
            <w:tcW w:w="2200" w:type="dxa"/>
            <w:tcBorders>
              <w:top w:val="nil"/>
              <w:left w:val="nil"/>
              <w:bottom w:val="single" w:color="auto" w:sz="4" w:space="0"/>
              <w:right w:val="single" w:color="auto" w:sz="4" w:space="0"/>
            </w:tcBorders>
            <w:shd w:val="clear" w:color="auto" w:fill="auto"/>
            <w:noWrap/>
            <w:vAlign w:val="center"/>
          </w:tcPr>
          <w:p w14:paraId="4411DD0C">
            <w:pPr>
              <w:widowControl/>
              <w:jc w:val="center"/>
              <w:rPr>
                <w:rFonts w:ascii="宋体" w:hAnsi="宋体" w:eastAsia="宋体" w:cs="宋体"/>
                <w:color w:val="auto"/>
                <w:kern w:val="0"/>
                <w:sz w:val="22"/>
              </w:rPr>
            </w:pPr>
            <w:r>
              <w:rPr>
                <w:rFonts w:hint="eastAsia" w:ascii="宋体" w:hAnsi="宋体" w:eastAsia="宋体" w:cs="宋体"/>
                <w:color w:val="auto"/>
                <w:kern w:val="0"/>
                <w:sz w:val="22"/>
              </w:rPr>
              <w:t>上、下</w:t>
            </w:r>
          </w:p>
        </w:tc>
        <w:tc>
          <w:tcPr>
            <w:tcW w:w="1520" w:type="dxa"/>
            <w:tcBorders>
              <w:top w:val="nil"/>
              <w:left w:val="nil"/>
              <w:bottom w:val="single" w:color="auto" w:sz="4" w:space="0"/>
              <w:right w:val="single" w:color="auto" w:sz="4" w:space="0"/>
            </w:tcBorders>
            <w:shd w:val="clear" w:color="auto" w:fill="auto"/>
            <w:noWrap/>
            <w:vAlign w:val="center"/>
          </w:tcPr>
          <w:p w14:paraId="2ABB39A4">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r>
      <w:tr w14:paraId="7E325F09">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vAlign w:val="center"/>
          </w:tcPr>
          <w:p w14:paraId="3DE47D97">
            <w:pPr>
              <w:widowControl/>
              <w:jc w:val="left"/>
              <w:rPr>
                <w:rFonts w:ascii="宋体" w:hAnsi="宋体" w:eastAsia="宋体" w:cs="宋体"/>
                <w:b/>
                <w:bCs/>
                <w:color w:val="auto"/>
                <w:kern w:val="0"/>
                <w:sz w:val="22"/>
              </w:rPr>
            </w:pPr>
          </w:p>
        </w:tc>
        <w:tc>
          <w:tcPr>
            <w:tcW w:w="4100" w:type="dxa"/>
            <w:tcBorders>
              <w:top w:val="nil"/>
              <w:left w:val="nil"/>
              <w:bottom w:val="single" w:color="auto" w:sz="4" w:space="0"/>
              <w:right w:val="single" w:color="auto" w:sz="4" w:space="0"/>
            </w:tcBorders>
            <w:shd w:val="clear" w:color="auto" w:fill="auto"/>
            <w:noWrap/>
            <w:vAlign w:val="center"/>
          </w:tcPr>
          <w:p w14:paraId="1986400A">
            <w:pPr>
              <w:widowControl/>
              <w:jc w:val="left"/>
              <w:rPr>
                <w:rFonts w:ascii="宋体" w:hAnsi="宋体" w:eastAsia="宋体" w:cs="宋体"/>
                <w:color w:val="auto"/>
                <w:kern w:val="0"/>
                <w:sz w:val="22"/>
              </w:rPr>
            </w:pPr>
            <w:r>
              <w:rPr>
                <w:rFonts w:hint="eastAsia" w:ascii="宋体" w:hAnsi="宋体" w:eastAsia="宋体" w:cs="宋体"/>
                <w:color w:val="auto"/>
                <w:kern w:val="0"/>
                <w:sz w:val="22"/>
              </w:rPr>
              <w:t>18#电梯旁走火梯门</w:t>
            </w:r>
          </w:p>
        </w:tc>
        <w:tc>
          <w:tcPr>
            <w:tcW w:w="2200" w:type="dxa"/>
            <w:tcBorders>
              <w:top w:val="nil"/>
              <w:left w:val="nil"/>
              <w:bottom w:val="single" w:color="auto" w:sz="4" w:space="0"/>
              <w:right w:val="single" w:color="auto" w:sz="4" w:space="0"/>
            </w:tcBorders>
            <w:shd w:val="clear" w:color="auto" w:fill="auto"/>
            <w:noWrap/>
            <w:vAlign w:val="center"/>
          </w:tcPr>
          <w:p w14:paraId="061FF2C4">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c>
          <w:tcPr>
            <w:tcW w:w="1520" w:type="dxa"/>
            <w:tcBorders>
              <w:top w:val="nil"/>
              <w:left w:val="nil"/>
              <w:bottom w:val="single" w:color="auto" w:sz="4" w:space="0"/>
              <w:right w:val="single" w:color="auto" w:sz="4" w:space="0"/>
            </w:tcBorders>
            <w:shd w:val="clear" w:color="auto" w:fill="auto"/>
            <w:noWrap/>
            <w:vAlign w:val="center"/>
          </w:tcPr>
          <w:p w14:paraId="61E96147">
            <w:pPr>
              <w:widowControl/>
              <w:jc w:val="center"/>
              <w:rPr>
                <w:rFonts w:ascii="宋体" w:hAnsi="宋体" w:eastAsia="宋体" w:cs="宋体"/>
                <w:color w:val="auto"/>
                <w:kern w:val="0"/>
                <w:sz w:val="22"/>
              </w:rPr>
            </w:pPr>
            <w:r>
              <w:rPr>
                <w:rFonts w:hint="eastAsia" w:ascii="宋体" w:hAnsi="宋体" w:eastAsia="宋体" w:cs="宋体"/>
                <w:color w:val="auto"/>
                <w:kern w:val="0"/>
                <w:sz w:val="22"/>
              </w:rPr>
              <w:t>1</w:t>
            </w:r>
          </w:p>
        </w:tc>
      </w:tr>
      <w:tr w14:paraId="28956F07">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vAlign w:val="center"/>
          </w:tcPr>
          <w:p w14:paraId="6AD5B6E1">
            <w:pPr>
              <w:widowControl/>
              <w:jc w:val="left"/>
              <w:rPr>
                <w:rFonts w:ascii="宋体" w:hAnsi="宋体" w:eastAsia="宋体" w:cs="宋体"/>
                <w:b/>
                <w:bCs/>
                <w:color w:val="auto"/>
                <w:kern w:val="0"/>
                <w:sz w:val="22"/>
              </w:rPr>
            </w:pPr>
          </w:p>
        </w:tc>
        <w:tc>
          <w:tcPr>
            <w:tcW w:w="4100" w:type="dxa"/>
            <w:tcBorders>
              <w:top w:val="nil"/>
              <w:left w:val="nil"/>
              <w:bottom w:val="single" w:color="auto" w:sz="4" w:space="0"/>
              <w:right w:val="single" w:color="auto" w:sz="4" w:space="0"/>
            </w:tcBorders>
            <w:shd w:val="clear" w:color="auto" w:fill="auto"/>
            <w:noWrap/>
            <w:vAlign w:val="center"/>
          </w:tcPr>
          <w:p w14:paraId="35376B1B">
            <w:pPr>
              <w:widowControl/>
              <w:jc w:val="left"/>
              <w:rPr>
                <w:rFonts w:ascii="宋体" w:hAnsi="宋体" w:eastAsia="宋体" w:cs="宋体"/>
                <w:color w:val="auto"/>
                <w:kern w:val="0"/>
                <w:sz w:val="22"/>
              </w:rPr>
            </w:pPr>
            <w:r>
              <w:rPr>
                <w:rFonts w:hint="eastAsia" w:ascii="宋体" w:hAnsi="宋体" w:eastAsia="宋体" w:cs="宋体"/>
                <w:color w:val="auto"/>
                <w:kern w:val="0"/>
                <w:sz w:val="22"/>
              </w:rPr>
              <w:t>西南角坡道门</w:t>
            </w:r>
          </w:p>
        </w:tc>
        <w:tc>
          <w:tcPr>
            <w:tcW w:w="2200" w:type="dxa"/>
            <w:tcBorders>
              <w:top w:val="nil"/>
              <w:left w:val="nil"/>
              <w:bottom w:val="single" w:color="auto" w:sz="4" w:space="0"/>
              <w:right w:val="single" w:color="auto" w:sz="4" w:space="0"/>
            </w:tcBorders>
            <w:shd w:val="clear" w:color="auto" w:fill="auto"/>
            <w:noWrap/>
            <w:vAlign w:val="center"/>
          </w:tcPr>
          <w:p w14:paraId="7EC6BBD2">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c>
          <w:tcPr>
            <w:tcW w:w="1520" w:type="dxa"/>
            <w:tcBorders>
              <w:top w:val="nil"/>
              <w:left w:val="nil"/>
              <w:bottom w:val="single" w:color="auto" w:sz="4" w:space="0"/>
              <w:right w:val="single" w:color="auto" w:sz="4" w:space="0"/>
            </w:tcBorders>
            <w:shd w:val="clear" w:color="auto" w:fill="auto"/>
            <w:noWrap/>
            <w:vAlign w:val="center"/>
          </w:tcPr>
          <w:p w14:paraId="50DA756E">
            <w:pPr>
              <w:widowControl/>
              <w:jc w:val="center"/>
              <w:rPr>
                <w:rFonts w:ascii="宋体" w:hAnsi="宋体" w:eastAsia="宋体" w:cs="宋体"/>
                <w:color w:val="auto"/>
                <w:kern w:val="0"/>
                <w:sz w:val="22"/>
              </w:rPr>
            </w:pPr>
            <w:r>
              <w:rPr>
                <w:rFonts w:hint="eastAsia" w:ascii="宋体" w:hAnsi="宋体" w:eastAsia="宋体" w:cs="宋体"/>
                <w:color w:val="auto"/>
                <w:kern w:val="0"/>
                <w:sz w:val="22"/>
              </w:rPr>
              <w:t>1</w:t>
            </w:r>
          </w:p>
        </w:tc>
      </w:tr>
      <w:tr w14:paraId="1EB73C09">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vAlign w:val="center"/>
          </w:tcPr>
          <w:p w14:paraId="250073CA">
            <w:pPr>
              <w:widowControl/>
              <w:jc w:val="left"/>
              <w:rPr>
                <w:rFonts w:ascii="宋体" w:hAnsi="宋体" w:eastAsia="宋体" w:cs="宋体"/>
                <w:b/>
                <w:bCs/>
                <w:color w:val="auto"/>
                <w:kern w:val="0"/>
                <w:sz w:val="22"/>
              </w:rPr>
            </w:pPr>
          </w:p>
        </w:tc>
        <w:tc>
          <w:tcPr>
            <w:tcW w:w="4100" w:type="dxa"/>
            <w:tcBorders>
              <w:top w:val="nil"/>
              <w:left w:val="nil"/>
              <w:bottom w:val="single" w:color="auto" w:sz="4" w:space="0"/>
              <w:right w:val="single" w:color="auto" w:sz="4" w:space="0"/>
            </w:tcBorders>
            <w:shd w:val="clear" w:color="auto" w:fill="auto"/>
            <w:noWrap/>
            <w:vAlign w:val="center"/>
          </w:tcPr>
          <w:p w14:paraId="4F9BF816">
            <w:pPr>
              <w:widowControl/>
              <w:jc w:val="left"/>
              <w:rPr>
                <w:rFonts w:ascii="宋体" w:hAnsi="宋体" w:eastAsia="宋体" w:cs="宋体"/>
                <w:color w:val="auto"/>
                <w:kern w:val="0"/>
                <w:sz w:val="22"/>
              </w:rPr>
            </w:pPr>
            <w:r>
              <w:rPr>
                <w:rFonts w:hint="eastAsia" w:ascii="宋体" w:hAnsi="宋体" w:eastAsia="宋体" w:cs="宋体"/>
                <w:color w:val="auto"/>
                <w:kern w:val="0"/>
                <w:sz w:val="22"/>
              </w:rPr>
              <w:t>厨房送货通道</w:t>
            </w:r>
          </w:p>
        </w:tc>
        <w:tc>
          <w:tcPr>
            <w:tcW w:w="2200" w:type="dxa"/>
            <w:tcBorders>
              <w:top w:val="nil"/>
              <w:left w:val="nil"/>
              <w:bottom w:val="single" w:color="auto" w:sz="4" w:space="0"/>
              <w:right w:val="single" w:color="auto" w:sz="4" w:space="0"/>
            </w:tcBorders>
            <w:shd w:val="clear" w:color="auto" w:fill="auto"/>
            <w:noWrap/>
            <w:vAlign w:val="center"/>
          </w:tcPr>
          <w:p w14:paraId="24BF4ECC">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c>
          <w:tcPr>
            <w:tcW w:w="1520" w:type="dxa"/>
            <w:tcBorders>
              <w:top w:val="nil"/>
              <w:left w:val="nil"/>
              <w:bottom w:val="single" w:color="auto" w:sz="4" w:space="0"/>
              <w:right w:val="single" w:color="auto" w:sz="4" w:space="0"/>
            </w:tcBorders>
            <w:shd w:val="clear" w:color="auto" w:fill="auto"/>
            <w:noWrap/>
            <w:vAlign w:val="center"/>
          </w:tcPr>
          <w:p w14:paraId="29D44917">
            <w:pPr>
              <w:widowControl/>
              <w:jc w:val="center"/>
              <w:rPr>
                <w:rFonts w:ascii="宋体" w:hAnsi="宋体" w:eastAsia="宋体" w:cs="宋体"/>
                <w:color w:val="auto"/>
                <w:kern w:val="0"/>
                <w:sz w:val="22"/>
              </w:rPr>
            </w:pPr>
            <w:r>
              <w:rPr>
                <w:rFonts w:hint="eastAsia" w:ascii="宋体" w:hAnsi="宋体" w:eastAsia="宋体" w:cs="宋体"/>
                <w:color w:val="auto"/>
                <w:kern w:val="0"/>
                <w:sz w:val="22"/>
              </w:rPr>
              <w:t>1</w:t>
            </w:r>
          </w:p>
        </w:tc>
      </w:tr>
      <w:tr w14:paraId="1BD21982">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vAlign w:val="center"/>
          </w:tcPr>
          <w:p w14:paraId="558A86C7">
            <w:pPr>
              <w:widowControl/>
              <w:jc w:val="left"/>
              <w:rPr>
                <w:rFonts w:ascii="宋体" w:hAnsi="宋体" w:eastAsia="宋体" w:cs="宋体"/>
                <w:b/>
                <w:bCs/>
                <w:color w:val="auto"/>
                <w:kern w:val="0"/>
                <w:sz w:val="22"/>
              </w:rPr>
            </w:pPr>
          </w:p>
        </w:tc>
        <w:tc>
          <w:tcPr>
            <w:tcW w:w="4100" w:type="dxa"/>
            <w:tcBorders>
              <w:top w:val="nil"/>
              <w:left w:val="nil"/>
              <w:bottom w:val="single" w:color="auto" w:sz="4" w:space="0"/>
              <w:right w:val="single" w:color="auto" w:sz="4" w:space="0"/>
            </w:tcBorders>
            <w:shd w:val="clear" w:color="auto" w:fill="auto"/>
            <w:noWrap/>
            <w:vAlign w:val="center"/>
          </w:tcPr>
          <w:p w14:paraId="7FABCB56">
            <w:pPr>
              <w:widowControl/>
              <w:jc w:val="left"/>
              <w:rPr>
                <w:rFonts w:ascii="宋体" w:hAnsi="宋体" w:eastAsia="宋体" w:cs="宋体"/>
                <w:color w:val="auto"/>
                <w:kern w:val="0"/>
                <w:sz w:val="22"/>
              </w:rPr>
            </w:pPr>
            <w:r>
              <w:rPr>
                <w:rFonts w:hint="eastAsia" w:ascii="宋体" w:hAnsi="宋体" w:eastAsia="宋体" w:cs="宋体"/>
                <w:color w:val="auto"/>
                <w:kern w:val="0"/>
                <w:sz w:val="22"/>
              </w:rPr>
              <w:t>厨房走火梯门</w:t>
            </w:r>
          </w:p>
        </w:tc>
        <w:tc>
          <w:tcPr>
            <w:tcW w:w="2200" w:type="dxa"/>
            <w:tcBorders>
              <w:top w:val="nil"/>
              <w:left w:val="nil"/>
              <w:bottom w:val="single" w:color="auto" w:sz="4" w:space="0"/>
              <w:right w:val="single" w:color="auto" w:sz="4" w:space="0"/>
            </w:tcBorders>
            <w:shd w:val="clear" w:color="auto" w:fill="auto"/>
            <w:noWrap/>
            <w:vAlign w:val="center"/>
          </w:tcPr>
          <w:p w14:paraId="02A7C558">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c>
          <w:tcPr>
            <w:tcW w:w="1520" w:type="dxa"/>
            <w:tcBorders>
              <w:top w:val="nil"/>
              <w:left w:val="nil"/>
              <w:bottom w:val="single" w:color="auto" w:sz="4" w:space="0"/>
              <w:right w:val="single" w:color="auto" w:sz="4" w:space="0"/>
            </w:tcBorders>
            <w:shd w:val="clear" w:color="auto" w:fill="auto"/>
            <w:noWrap/>
            <w:vAlign w:val="center"/>
          </w:tcPr>
          <w:p w14:paraId="3EBEE08E">
            <w:pPr>
              <w:widowControl/>
              <w:jc w:val="center"/>
              <w:rPr>
                <w:rFonts w:ascii="宋体" w:hAnsi="宋体" w:eastAsia="宋体" w:cs="宋体"/>
                <w:color w:val="auto"/>
                <w:kern w:val="0"/>
                <w:sz w:val="22"/>
              </w:rPr>
            </w:pPr>
            <w:r>
              <w:rPr>
                <w:rFonts w:hint="eastAsia" w:ascii="宋体" w:hAnsi="宋体" w:eastAsia="宋体" w:cs="宋体"/>
                <w:color w:val="auto"/>
                <w:kern w:val="0"/>
                <w:sz w:val="22"/>
              </w:rPr>
              <w:t>1</w:t>
            </w:r>
          </w:p>
        </w:tc>
      </w:tr>
      <w:tr w14:paraId="582FD13C">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vAlign w:val="center"/>
          </w:tcPr>
          <w:p w14:paraId="533F815B">
            <w:pPr>
              <w:widowControl/>
              <w:jc w:val="left"/>
              <w:rPr>
                <w:rFonts w:ascii="宋体" w:hAnsi="宋体" w:eastAsia="宋体" w:cs="宋体"/>
                <w:b/>
                <w:bCs/>
                <w:color w:val="auto"/>
                <w:kern w:val="0"/>
                <w:sz w:val="22"/>
              </w:rPr>
            </w:pPr>
          </w:p>
        </w:tc>
        <w:tc>
          <w:tcPr>
            <w:tcW w:w="4100" w:type="dxa"/>
            <w:tcBorders>
              <w:top w:val="nil"/>
              <w:left w:val="nil"/>
              <w:bottom w:val="single" w:color="auto" w:sz="4" w:space="0"/>
              <w:right w:val="single" w:color="auto" w:sz="4" w:space="0"/>
            </w:tcBorders>
            <w:shd w:val="clear" w:color="auto" w:fill="auto"/>
            <w:noWrap/>
            <w:vAlign w:val="center"/>
          </w:tcPr>
          <w:p w14:paraId="36049044">
            <w:pPr>
              <w:widowControl/>
              <w:jc w:val="left"/>
              <w:rPr>
                <w:rFonts w:ascii="宋体" w:hAnsi="宋体" w:eastAsia="宋体" w:cs="宋体"/>
                <w:color w:val="auto"/>
                <w:kern w:val="0"/>
                <w:sz w:val="22"/>
              </w:rPr>
            </w:pPr>
            <w:r>
              <w:rPr>
                <w:rFonts w:hint="eastAsia" w:ascii="宋体" w:hAnsi="宋体" w:eastAsia="宋体" w:cs="宋体"/>
                <w:color w:val="auto"/>
                <w:kern w:val="0"/>
                <w:sz w:val="22"/>
              </w:rPr>
              <w:t>20#电梯</w:t>
            </w:r>
          </w:p>
        </w:tc>
        <w:tc>
          <w:tcPr>
            <w:tcW w:w="2200" w:type="dxa"/>
            <w:tcBorders>
              <w:top w:val="nil"/>
              <w:left w:val="nil"/>
              <w:bottom w:val="single" w:color="auto" w:sz="4" w:space="0"/>
              <w:right w:val="single" w:color="auto" w:sz="4" w:space="0"/>
            </w:tcBorders>
            <w:shd w:val="clear" w:color="auto" w:fill="auto"/>
            <w:noWrap/>
            <w:vAlign w:val="center"/>
          </w:tcPr>
          <w:p w14:paraId="374526EC">
            <w:pPr>
              <w:widowControl/>
              <w:jc w:val="center"/>
              <w:rPr>
                <w:rFonts w:ascii="宋体" w:hAnsi="宋体" w:eastAsia="宋体" w:cs="宋体"/>
                <w:color w:val="auto"/>
                <w:kern w:val="0"/>
                <w:sz w:val="22"/>
              </w:rPr>
            </w:pPr>
            <w:r>
              <w:rPr>
                <w:rFonts w:hint="eastAsia" w:ascii="宋体" w:hAnsi="宋体" w:eastAsia="宋体" w:cs="宋体"/>
                <w:color w:val="auto"/>
                <w:kern w:val="0"/>
                <w:sz w:val="22"/>
              </w:rPr>
              <w:t>上、下</w:t>
            </w:r>
          </w:p>
        </w:tc>
        <w:tc>
          <w:tcPr>
            <w:tcW w:w="1520" w:type="dxa"/>
            <w:tcBorders>
              <w:top w:val="nil"/>
              <w:left w:val="nil"/>
              <w:bottom w:val="single" w:color="auto" w:sz="4" w:space="0"/>
              <w:right w:val="single" w:color="auto" w:sz="4" w:space="0"/>
            </w:tcBorders>
            <w:shd w:val="clear" w:color="auto" w:fill="auto"/>
            <w:noWrap/>
            <w:vAlign w:val="center"/>
          </w:tcPr>
          <w:p w14:paraId="66BC3152">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r>
      <w:tr w14:paraId="7CF64CFD">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vAlign w:val="center"/>
          </w:tcPr>
          <w:p w14:paraId="47825D74">
            <w:pPr>
              <w:widowControl/>
              <w:jc w:val="left"/>
              <w:rPr>
                <w:rFonts w:ascii="宋体" w:hAnsi="宋体" w:eastAsia="宋体" w:cs="宋体"/>
                <w:b/>
                <w:bCs/>
                <w:color w:val="auto"/>
                <w:kern w:val="0"/>
                <w:sz w:val="22"/>
              </w:rPr>
            </w:pPr>
          </w:p>
        </w:tc>
        <w:tc>
          <w:tcPr>
            <w:tcW w:w="4100" w:type="dxa"/>
            <w:tcBorders>
              <w:top w:val="nil"/>
              <w:left w:val="nil"/>
              <w:bottom w:val="single" w:color="auto" w:sz="4" w:space="0"/>
              <w:right w:val="single" w:color="auto" w:sz="4" w:space="0"/>
            </w:tcBorders>
            <w:shd w:val="clear" w:color="auto" w:fill="auto"/>
            <w:noWrap/>
            <w:vAlign w:val="center"/>
          </w:tcPr>
          <w:p w14:paraId="69E5AE89">
            <w:pPr>
              <w:widowControl/>
              <w:jc w:val="left"/>
              <w:rPr>
                <w:rFonts w:ascii="宋体" w:hAnsi="宋体" w:eastAsia="宋体" w:cs="宋体"/>
                <w:color w:val="auto"/>
                <w:kern w:val="0"/>
                <w:sz w:val="22"/>
              </w:rPr>
            </w:pPr>
            <w:r>
              <w:rPr>
                <w:rFonts w:hint="eastAsia" w:ascii="宋体" w:hAnsi="宋体" w:eastAsia="宋体" w:cs="宋体"/>
                <w:color w:val="auto"/>
                <w:kern w:val="0"/>
                <w:sz w:val="22"/>
              </w:rPr>
              <w:t>20#电梯旁走火梯门</w:t>
            </w:r>
          </w:p>
        </w:tc>
        <w:tc>
          <w:tcPr>
            <w:tcW w:w="2200" w:type="dxa"/>
            <w:tcBorders>
              <w:top w:val="nil"/>
              <w:left w:val="nil"/>
              <w:bottom w:val="single" w:color="auto" w:sz="4" w:space="0"/>
              <w:right w:val="single" w:color="auto" w:sz="4" w:space="0"/>
            </w:tcBorders>
            <w:shd w:val="clear" w:color="auto" w:fill="auto"/>
            <w:noWrap/>
            <w:vAlign w:val="center"/>
          </w:tcPr>
          <w:p w14:paraId="2AEDB314">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c>
          <w:tcPr>
            <w:tcW w:w="1520" w:type="dxa"/>
            <w:tcBorders>
              <w:top w:val="nil"/>
              <w:left w:val="nil"/>
              <w:bottom w:val="single" w:color="auto" w:sz="4" w:space="0"/>
              <w:right w:val="single" w:color="auto" w:sz="4" w:space="0"/>
            </w:tcBorders>
            <w:shd w:val="clear" w:color="auto" w:fill="auto"/>
            <w:noWrap/>
            <w:vAlign w:val="center"/>
          </w:tcPr>
          <w:p w14:paraId="29CC87B7">
            <w:pPr>
              <w:widowControl/>
              <w:jc w:val="center"/>
              <w:rPr>
                <w:rFonts w:ascii="宋体" w:hAnsi="宋体" w:eastAsia="宋体" w:cs="宋体"/>
                <w:color w:val="auto"/>
                <w:kern w:val="0"/>
                <w:sz w:val="22"/>
              </w:rPr>
            </w:pPr>
            <w:r>
              <w:rPr>
                <w:rFonts w:hint="eastAsia" w:ascii="宋体" w:hAnsi="宋体" w:eastAsia="宋体" w:cs="宋体"/>
                <w:color w:val="auto"/>
                <w:kern w:val="0"/>
                <w:sz w:val="22"/>
              </w:rPr>
              <w:t>1</w:t>
            </w:r>
          </w:p>
        </w:tc>
      </w:tr>
      <w:tr w14:paraId="58132F23">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vAlign w:val="center"/>
          </w:tcPr>
          <w:p w14:paraId="1CD00214">
            <w:pPr>
              <w:widowControl/>
              <w:jc w:val="left"/>
              <w:rPr>
                <w:rFonts w:ascii="宋体" w:hAnsi="宋体" w:eastAsia="宋体" w:cs="宋体"/>
                <w:b/>
                <w:bCs/>
                <w:color w:val="auto"/>
                <w:kern w:val="0"/>
                <w:sz w:val="22"/>
              </w:rPr>
            </w:pPr>
          </w:p>
        </w:tc>
        <w:tc>
          <w:tcPr>
            <w:tcW w:w="4100" w:type="dxa"/>
            <w:tcBorders>
              <w:top w:val="nil"/>
              <w:left w:val="nil"/>
              <w:bottom w:val="single" w:color="auto" w:sz="4" w:space="0"/>
              <w:right w:val="single" w:color="auto" w:sz="4" w:space="0"/>
            </w:tcBorders>
            <w:shd w:val="clear" w:color="auto" w:fill="auto"/>
            <w:noWrap/>
            <w:vAlign w:val="center"/>
          </w:tcPr>
          <w:p w14:paraId="7B0483FB">
            <w:pPr>
              <w:widowControl/>
              <w:jc w:val="left"/>
              <w:rPr>
                <w:rFonts w:ascii="宋体" w:hAnsi="宋体" w:eastAsia="宋体" w:cs="宋体"/>
                <w:color w:val="auto"/>
                <w:kern w:val="0"/>
                <w:sz w:val="22"/>
              </w:rPr>
            </w:pPr>
            <w:r>
              <w:rPr>
                <w:rFonts w:hint="eastAsia" w:ascii="宋体" w:hAnsi="宋体" w:eastAsia="宋体" w:cs="宋体"/>
                <w:color w:val="auto"/>
                <w:kern w:val="0"/>
                <w:sz w:val="22"/>
              </w:rPr>
              <w:t>20#电梯旁走火梯通道门（1）</w:t>
            </w:r>
          </w:p>
        </w:tc>
        <w:tc>
          <w:tcPr>
            <w:tcW w:w="2200" w:type="dxa"/>
            <w:tcBorders>
              <w:top w:val="nil"/>
              <w:left w:val="nil"/>
              <w:bottom w:val="single" w:color="auto" w:sz="4" w:space="0"/>
              <w:right w:val="single" w:color="auto" w:sz="4" w:space="0"/>
            </w:tcBorders>
            <w:shd w:val="clear" w:color="auto" w:fill="auto"/>
            <w:noWrap/>
            <w:vAlign w:val="center"/>
          </w:tcPr>
          <w:p w14:paraId="6939C859">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c>
          <w:tcPr>
            <w:tcW w:w="1520" w:type="dxa"/>
            <w:tcBorders>
              <w:top w:val="nil"/>
              <w:left w:val="nil"/>
              <w:bottom w:val="single" w:color="auto" w:sz="4" w:space="0"/>
              <w:right w:val="single" w:color="auto" w:sz="4" w:space="0"/>
            </w:tcBorders>
            <w:shd w:val="clear" w:color="auto" w:fill="auto"/>
            <w:noWrap/>
            <w:vAlign w:val="center"/>
          </w:tcPr>
          <w:p w14:paraId="6869ED5C">
            <w:pPr>
              <w:widowControl/>
              <w:jc w:val="center"/>
              <w:rPr>
                <w:rFonts w:ascii="宋体" w:hAnsi="宋体" w:eastAsia="宋体" w:cs="宋体"/>
                <w:color w:val="auto"/>
                <w:kern w:val="0"/>
                <w:sz w:val="22"/>
              </w:rPr>
            </w:pPr>
            <w:r>
              <w:rPr>
                <w:rFonts w:hint="eastAsia" w:ascii="宋体" w:hAnsi="宋体" w:eastAsia="宋体" w:cs="宋体"/>
                <w:color w:val="auto"/>
                <w:kern w:val="0"/>
                <w:sz w:val="22"/>
              </w:rPr>
              <w:t>1</w:t>
            </w:r>
          </w:p>
        </w:tc>
      </w:tr>
      <w:tr w14:paraId="08264E3F">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vAlign w:val="center"/>
          </w:tcPr>
          <w:p w14:paraId="13B53C21">
            <w:pPr>
              <w:widowControl/>
              <w:jc w:val="left"/>
              <w:rPr>
                <w:rFonts w:ascii="宋体" w:hAnsi="宋体" w:eastAsia="宋体" w:cs="宋体"/>
                <w:b/>
                <w:bCs/>
                <w:color w:val="auto"/>
                <w:kern w:val="0"/>
                <w:sz w:val="22"/>
              </w:rPr>
            </w:pPr>
          </w:p>
        </w:tc>
        <w:tc>
          <w:tcPr>
            <w:tcW w:w="4100" w:type="dxa"/>
            <w:tcBorders>
              <w:top w:val="nil"/>
              <w:left w:val="nil"/>
              <w:bottom w:val="single" w:color="auto" w:sz="4" w:space="0"/>
              <w:right w:val="single" w:color="auto" w:sz="4" w:space="0"/>
            </w:tcBorders>
            <w:shd w:val="clear" w:color="auto" w:fill="auto"/>
            <w:noWrap/>
            <w:vAlign w:val="center"/>
          </w:tcPr>
          <w:p w14:paraId="6457F2D9">
            <w:pPr>
              <w:widowControl/>
              <w:jc w:val="left"/>
              <w:rPr>
                <w:rFonts w:ascii="宋体" w:hAnsi="宋体" w:eastAsia="宋体" w:cs="宋体"/>
                <w:color w:val="auto"/>
                <w:kern w:val="0"/>
                <w:sz w:val="22"/>
              </w:rPr>
            </w:pPr>
            <w:r>
              <w:rPr>
                <w:rFonts w:hint="eastAsia" w:ascii="宋体" w:hAnsi="宋体" w:eastAsia="宋体" w:cs="宋体"/>
                <w:color w:val="auto"/>
                <w:kern w:val="0"/>
                <w:sz w:val="22"/>
              </w:rPr>
              <w:t>20#电梯旁走火梯通道门（2）</w:t>
            </w:r>
          </w:p>
        </w:tc>
        <w:tc>
          <w:tcPr>
            <w:tcW w:w="2200" w:type="dxa"/>
            <w:tcBorders>
              <w:top w:val="nil"/>
              <w:left w:val="nil"/>
              <w:bottom w:val="single" w:color="auto" w:sz="4" w:space="0"/>
              <w:right w:val="single" w:color="auto" w:sz="4" w:space="0"/>
            </w:tcBorders>
            <w:shd w:val="clear" w:color="auto" w:fill="auto"/>
            <w:noWrap/>
            <w:vAlign w:val="center"/>
          </w:tcPr>
          <w:p w14:paraId="64FEEA23">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c>
          <w:tcPr>
            <w:tcW w:w="1520" w:type="dxa"/>
            <w:tcBorders>
              <w:top w:val="nil"/>
              <w:left w:val="nil"/>
              <w:bottom w:val="single" w:color="auto" w:sz="4" w:space="0"/>
              <w:right w:val="single" w:color="auto" w:sz="4" w:space="0"/>
            </w:tcBorders>
            <w:shd w:val="clear" w:color="auto" w:fill="auto"/>
            <w:noWrap/>
            <w:vAlign w:val="center"/>
          </w:tcPr>
          <w:p w14:paraId="27CCB70E">
            <w:pPr>
              <w:widowControl/>
              <w:jc w:val="center"/>
              <w:rPr>
                <w:rFonts w:ascii="宋体" w:hAnsi="宋体" w:eastAsia="宋体" w:cs="宋体"/>
                <w:color w:val="auto"/>
                <w:kern w:val="0"/>
                <w:sz w:val="22"/>
              </w:rPr>
            </w:pPr>
            <w:r>
              <w:rPr>
                <w:rFonts w:hint="eastAsia" w:ascii="宋体" w:hAnsi="宋体" w:eastAsia="宋体" w:cs="宋体"/>
                <w:color w:val="auto"/>
                <w:kern w:val="0"/>
                <w:sz w:val="22"/>
              </w:rPr>
              <w:t>1</w:t>
            </w:r>
          </w:p>
        </w:tc>
      </w:tr>
      <w:tr w14:paraId="0E52A411">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vAlign w:val="center"/>
          </w:tcPr>
          <w:p w14:paraId="1B3EF1D4">
            <w:pPr>
              <w:widowControl/>
              <w:jc w:val="left"/>
              <w:rPr>
                <w:rFonts w:ascii="宋体" w:hAnsi="宋体" w:eastAsia="宋体" w:cs="宋体"/>
                <w:b/>
                <w:bCs/>
                <w:color w:val="auto"/>
                <w:kern w:val="0"/>
                <w:sz w:val="22"/>
              </w:rPr>
            </w:pPr>
          </w:p>
        </w:tc>
        <w:tc>
          <w:tcPr>
            <w:tcW w:w="4100" w:type="dxa"/>
            <w:tcBorders>
              <w:top w:val="nil"/>
              <w:left w:val="nil"/>
              <w:bottom w:val="single" w:color="auto" w:sz="4" w:space="0"/>
              <w:right w:val="single" w:color="auto" w:sz="4" w:space="0"/>
            </w:tcBorders>
            <w:shd w:val="clear" w:color="auto" w:fill="auto"/>
            <w:noWrap/>
            <w:vAlign w:val="center"/>
          </w:tcPr>
          <w:p w14:paraId="3E806B37">
            <w:pPr>
              <w:widowControl/>
              <w:jc w:val="left"/>
              <w:rPr>
                <w:rFonts w:ascii="宋体" w:hAnsi="宋体" w:eastAsia="宋体" w:cs="宋体"/>
                <w:color w:val="auto"/>
                <w:kern w:val="0"/>
                <w:sz w:val="22"/>
              </w:rPr>
            </w:pPr>
            <w:r>
              <w:rPr>
                <w:rFonts w:hint="eastAsia" w:ascii="宋体" w:hAnsi="宋体" w:eastAsia="宋体" w:cs="宋体"/>
                <w:color w:val="auto"/>
                <w:kern w:val="0"/>
                <w:sz w:val="22"/>
              </w:rPr>
              <w:t>21#电梯</w:t>
            </w:r>
          </w:p>
        </w:tc>
        <w:tc>
          <w:tcPr>
            <w:tcW w:w="2200" w:type="dxa"/>
            <w:tcBorders>
              <w:top w:val="nil"/>
              <w:left w:val="nil"/>
              <w:bottom w:val="single" w:color="auto" w:sz="4" w:space="0"/>
              <w:right w:val="single" w:color="auto" w:sz="4" w:space="0"/>
            </w:tcBorders>
            <w:shd w:val="clear" w:color="auto" w:fill="auto"/>
            <w:noWrap/>
            <w:vAlign w:val="center"/>
          </w:tcPr>
          <w:p w14:paraId="74377C06">
            <w:pPr>
              <w:widowControl/>
              <w:jc w:val="center"/>
              <w:rPr>
                <w:rFonts w:ascii="宋体" w:hAnsi="宋体" w:eastAsia="宋体" w:cs="宋体"/>
                <w:color w:val="auto"/>
                <w:kern w:val="0"/>
                <w:sz w:val="22"/>
              </w:rPr>
            </w:pPr>
            <w:r>
              <w:rPr>
                <w:rFonts w:hint="eastAsia" w:ascii="宋体" w:hAnsi="宋体" w:eastAsia="宋体" w:cs="宋体"/>
                <w:color w:val="auto"/>
                <w:kern w:val="0"/>
                <w:sz w:val="22"/>
              </w:rPr>
              <w:t>上、下</w:t>
            </w:r>
          </w:p>
        </w:tc>
        <w:tc>
          <w:tcPr>
            <w:tcW w:w="1520" w:type="dxa"/>
            <w:tcBorders>
              <w:top w:val="nil"/>
              <w:left w:val="nil"/>
              <w:bottom w:val="single" w:color="auto" w:sz="4" w:space="0"/>
              <w:right w:val="single" w:color="auto" w:sz="4" w:space="0"/>
            </w:tcBorders>
            <w:shd w:val="clear" w:color="auto" w:fill="auto"/>
            <w:noWrap/>
            <w:vAlign w:val="center"/>
          </w:tcPr>
          <w:p w14:paraId="56B5E71D">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r>
      <w:tr w14:paraId="5D382A37">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vAlign w:val="center"/>
          </w:tcPr>
          <w:p w14:paraId="06CF115F">
            <w:pPr>
              <w:widowControl/>
              <w:jc w:val="left"/>
              <w:rPr>
                <w:rFonts w:ascii="宋体" w:hAnsi="宋体" w:eastAsia="宋体" w:cs="宋体"/>
                <w:b/>
                <w:bCs/>
                <w:color w:val="auto"/>
                <w:kern w:val="0"/>
                <w:sz w:val="22"/>
              </w:rPr>
            </w:pPr>
          </w:p>
        </w:tc>
        <w:tc>
          <w:tcPr>
            <w:tcW w:w="4100" w:type="dxa"/>
            <w:tcBorders>
              <w:top w:val="nil"/>
              <w:left w:val="nil"/>
              <w:bottom w:val="single" w:color="auto" w:sz="4" w:space="0"/>
              <w:right w:val="single" w:color="auto" w:sz="4" w:space="0"/>
            </w:tcBorders>
            <w:shd w:val="clear" w:color="auto" w:fill="auto"/>
            <w:noWrap/>
            <w:vAlign w:val="center"/>
          </w:tcPr>
          <w:p w14:paraId="7A35AE00">
            <w:pPr>
              <w:widowControl/>
              <w:jc w:val="left"/>
              <w:rPr>
                <w:rFonts w:ascii="宋体" w:hAnsi="宋体" w:eastAsia="宋体" w:cs="宋体"/>
                <w:color w:val="auto"/>
                <w:kern w:val="0"/>
                <w:sz w:val="22"/>
              </w:rPr>
            </w:pPr>
            <w:r>
              <w:rPr>
                <w:rFonts w:hint="eastAsia" w:ascii="宋体" w:hAnsi="宋体" w:eastAsia="宋体" w:cs="宋体"/>
                <w:color w:val="auto"/>
                <w:kern w:val="0"/>
                <w:sz w:val="22"/>
              </w:rPr>
              <w:t>22#电梯</w:t>
            </w:r>
          </w:p>
        </w:tc>
        <w:tc>
          <w:tcPr>
            <w:tcW w:w="2200" w:type="dxa"/>
            <w:tcBorders>
              <w:top w:val="nil"/>
              <w:left w:val="nil"/>
              <w:bottom w:val="single" w:color="auto" w:sz="4" w:space="0"/>
              <w:right w:val="single" w:color="auto" w:sz="4" w:space="0"/>
            </w:tcBorders>
            <w:shd w:val="clear" w:color="auto" w:fill="auto"/>
            <w:noWrap/>
            <w:vAlign w:val="center"/>
          </w:tcPr>
          <w:p w14:paraId="35BF324F">
            <w:pPr>
              <w:widowControl/>
              <w:jc w:val="center"/>
              <w:rPr>
                <w:rFonts w:ascii="宋体" w:hAnsi="宋体" w:eastAsia="宋体" w:cs="宋体"/>
                <w:color w:val="auto"/>
                <w:kern w:val="0"/>
                <w:sz w:val="22"/>
              </w:rPr>
            </w:pPr>
            <w:r>
              <w:rPr>
                <w:rFonts w:hint="eastAsia" w:ascii="宋体" w:hAnsi="宋体" w:eastAsia="宋体" w:cs="宋体"/>
                <w:color w:val="auto"/>
                <w:kern w:val="0"/>
                <w:sz w:val="22"/>
              </w:rPr>
              <w:t>上、下</w:t>
            </w:r>
          </w:p>
        </w:tc>
        <w:tc>
          <w:tcPr>
            <w:tcW w:w="1520" w:type="dxa"/>
            <w:tcBorders>
              <w:top w:val="nil"/>
              <w:left w:val="nil"/>
              <w:bottom w:val="single" w:color="auto" w:sz="4" w:space="0"/>
              <w:right w:val="single" w:color="auto" w:sz="4" w:space="0"/>
            </w:tcBorders>
            <w:shd w:val="clear" w:color="auto" w:fill="auto"/>
            <w:noWrap/>
            <w:vAlign w:val="center"/>
          </w:tcPr>
          <w:p w14:paraId="1F9AD5C7">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r>
      <w:tr w14:paraId="6996F30A">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vAlign w:val="center"/>
          </w:tcPr>
          <w:p w14:paraId="649077E0">
            <w:pPr>
              <w:widowControl/>
              <w:jc w:val="left"/>
              <w:rPr>
                <w:rFonts w:ascii="宋体" w:hAnsi="宋体" w:eastAsia="宋体" w:cs="宋体"/>
                <w:b/>
                <w:bCs/>
                <w:color w:val="auto"/>
                <w:kern w:val="0"/>
                <w:sz w:val="22"/>
              </w:rPr>
            </w:pPr>
          </w:p>
        </w:tc>
        <w:tc>
          <w:tcPr>
            <w:tcW w:w="4100" w:type="dxa"/>
            <w:tcBorders>
              <w:top w:val="nil"/>
              <w:left w:val="nil"/>
              <w:bottom w:val="single" w:color="auto" w:sz="4" w:space="0"/>
              <w:right w:val="single" w:color="auto" w:sz="4" w:space="0"/>
            </w:tcBorders>
            <w:shd w:val="clear" w:color="auto" w:fill="auto"/>
            <w:noWrap/>
            <w:vAlign w:val="center"/>
          </w:tcPr>
          <w:p w14:paraId="4E631815">
            <w:pPr>
              <w:widowControl/>
              <w:jc w:val="left"/>
              <w:rPr>
                <w:rFonts w:ascii="宋体" w:hAnsi="宋体" w:eastAsia="宋体" w:cs="宋体"/>
                <w:color w:val="auto"/>
                <w:kern w:val="0"/>
                <w:sz w:val="22"/>
              </w:rPr>
            </w:pPr>
            <w:r>
              <w:rPr>
                <w:rFonts w:hint="eastAsia" w:ascii="宋体" w:hAnsi="宋体" w:eastAsia="宋体" w:cs="宋体"/>
                <w:color w:val="auto"/>
                <w:kern w:val="0"/>
                <w:sz w:val="22"/>
              </w:rPr>
              <w:t>22#电梯旁走火梯门</w:t>
            </w:r>
          </w:p>
        </w:tc>
        <w:tc>
          <w:tcPr>
            <w:tcW w:w="2200" w:type="dxa"/>
            <w:tcBorders>
              <w:top w:val="nil"/>
              <w:left w:val="nil"/>
              <w:bottom w:val="single" w:color="auto" w:sz="4" w:space="0"/>
              <w:right w:val="single" w:color="auto" w:sz="4" w:space="0"/>
            </w:tcBorders>
            <w:shd w:val="clear" w:color="auto" w:fill="auto"/>
            <w:noWrap/>
            <w:vAlign w:val="center"/>
          </w:tcPr>
          <w:p w14:paraId="2D2FA70E">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c>
          <w:tcPr>
            <w:tcW w:w="1520" w:type="dxa"/>
            <w:tcBorders>
              <w:top w:val="nil"/>
              <w:left w:val="nil"/>
              <w:bottom w:val="single" w:color="auto" w:sz="4" w:space="0"/>
              <w:right w:val="single" w:color="auto" w:sz="4" w:space="0"/>
            </w:tcBorders>
            <w:shd w:val="clear" w:color="auto" w:fill="auto"/>
            <w:noWrap/>
            <w:vAlign w:val="center"/>
          </w:tcPr>
          <w:p w14:paraId="0D0ED4E7">
            <w:pPr>
              <w:widowControl/>
              <w:jc w:val="center"/>
              <w:rPr>
                <w:rFonts w:ascii="宋体" w:hAnsi="宋体" w:eastAsia="宋体" w:cs="宋体"/>
                <w:color w:val="auto"/>
                <w:kern w:val="0"/>
                <w:sz w:val="22"/>
              </w:rPr>
            </w:pPr>
            <w:r>
              <w:rPr>
                <w:rFonts w:hint="eastAsia" w:ascii="宋体" w:hAnsi="宋体" w:eastAsia="宋体" w:cs="宋体"/>
                <w:color w:val="auto"/>
                <w:kern w:val="0"/>
                <w:sz w:val="22"/>
              </w:rPr>
              <w:t>1</w:t>
            </w:r>
          </w:p>
        </w:tc>
      </w:tr>
      <w:tr w14:paraId="6EA68630">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vAlign w:val="center"/>
          </w:tcPr>
          <w:p w14:paraId="439C5856">
            <w:pPr>
              <w:widowControl/>
              <w:jc w:val="left"/>
              <w:rPr>
                <w:rFonts w:ascii="宋体" w:hAnsi="宋体" w:eastAsia="宋体" w:cs="宋体"/>
                <w:b/>
                <w:bCs/>
                <w:color w:val="auto"/>
                <w:kern w:val="0"/>
                <w:sz w:val="22"/>
              </w:rPr>
            </w:pPr>
          </w:p>
        </w:tc>
        <w:tc>
          <w:tcPr>
            <w:tcW w:w="4100" w:type="dxa"/>
            <w:tcBorders>
              <w:top w:val="nil"/>
              <w:left w:val="nil"/>
              <w:bottom w:val="single" w:color="auto" w:sz="4" w:space="0"/>
              <w:right w:val="single" w:color="auto" w:sz="4" w:space="0"/>
            </w:tcBorders>
            <w:shd w:val="clear" w:color="auto" w:fill="auto"/>
            <w:noWrap/>
            <w:vAlign w:val="center"/>
          </w:tcPr>
          <w:p w14:paraId="70B82FD2">
            <w:pPr>
              <w:widowControl/>
              <w:jc w:val="left"/>
              <w:rPr>
                <w:rFonts w:ascii="宋体" w:hAnsi="宋体" w:eastAsia="宋体" w:cs="宋体"/>
                <w:color w:val="auto"/>
                <w:kern w:val="0"/>
                <w:sz w:val="22"/>
              </w:rPr>
            </w:pPr>
            <w:r>
              <w:rPr>
                <w:rFonts w:hint="eastAsia" w:ascii="宋体" w:hAnsi="宋体" w:eastAsia="宋体" w:cs="宋体"/>
                <w:color w:val="auto"/>
                <w:kern w:val="0"/>
                <w:sz w:val="22"/>
              </w:rPr>
              <w:t>23#电梯</w:t>
            </w:r>
          </w:p>
        </w:tc>
        <w:tc>
          <w:tcPr>
            <w:tcW w:w="2200" w:type="dxa"/>
            <w:tcBorders>
              <w:top w:val="nil"/>
              <w:left w:val="nil"/>
              <w:bottom w:val="single" w:color="auto" w:sz="4" w:space="0"/>
              <w:right w:val="single" w:color="auto" w:sz="4" w:space="0"/>
            </w:tcBorders>
            <w:shd w:val="clear" w:color="auto" w:fill="auto"/>
            <w:noWrap/>
            <w:vAlign w:val="center"/>
          </w:tcPr>
          <w:p w14:paraId="46F6D7FE">
            <w:pPr>
              <w:widowControl/>
              <w:jc w:val="center"/>
              <w:rPr>
                <w:rFonts w:ascii="宋体" w:hAnsi="宋体" w:eastAsia="宋体" w:cs="宋体"/>
                <w:color w:val="auto"/>
                <w:kern w:val="0"/>
                <w:sz w:val="22"/>
              </w:rPr>
            </w:pPr>
            <w:r>
              <w:rPr>
                <w:rFonts w:hint="eastAsia" w:ascii="宋体" w:hAnsi="宋体" w:eastAsia="宋体" w:cs="宋体"/>
                <w:color w:val="auto"/>
                <w:kern w:val="0"/>
                <w:sz w:val="22"/>
              </w:rPr>
              <w:t>上</w:t>
            </w:r>
          </w:p>
        </w:tc>
        <w:tc>
          <w:tcPr>
            <w:tcW w:w="1520" w:type="dxa"/>
            <w:tcBorders>
              <w:top w:val="nil"/>
              <w:left w:val="nil"/>
              <w:bottom w:val="single" w:color="auto" w:sz="4" w:space="0"/>
              <w:right w:val="single" w:color="auto" w:sz="4" w:space="0"/>
            </w:tcBorders>
            <w:shd w:val="clear" w:color="auto" w:fill="auto"/>
            <w:noWrap/>
            <w:vAlign w:val="center"/>
          </w:tcPr>
          <w:p w14:paraId="70B41E0C">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r>
      <w:tr w14:paraId="2BF620EE">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vAlign w:val="center"/>
          </w:tcPr>
          <w:p w14:paraId="301571AA">
            <w:pPr>
              <w:widowControl/>
              <w:jc w:val="left"/>
              <w:rPr>
                <w:rFonts w:ascii="宋体" w:hAnsi="宋体" w:eastAsia="宋体" w:cs="宋体"/>
                <w:b/>
                <w:bCs/>
                <w:color w:val="auto"/>
                <w:kern w:val="0"/>
                <w:sz w:val="22"/>
              </w:rPr>
            </w:pPr>
          </w:p>
        </w:tc>
        <w:tc>
          <w:tcPr>
            <w:tcW w:w="4100" w:type="dxa"/>
            <w:tcBorders>
              <w:top w:val="nil"/>
              <w:left w:val="nil"/>
              <w:bottom w:val="single" w:color="auto" w:sz="4" w:space="0"/>
              <w:right w:val="single" w:color="auto" w:sz="4" w:space="0"/>
            </w:tcBorders>
            <w:shd w:val="clear" w:color="auto" w:fill="auto"/>
            <w:noWrap/>
            <w:vAlign w:val="center"/>
          </w:tcPr>
          <w:p w14:paraId="1803B733">
            <w:pPr>
              <w:widowControl/>
              <w:jc w:val="left"/>
              <w:rPr>
                <w:rFonts w:ascii="宋体" w:hAnsi="宋体" w:eastAsia="宋体" w:cs="宋体"/>
                <w:color w:val="auto"/>
                <w:kern w:val="0"/>
                <w:sz w:val="22"/>
              </w:rPr>
            </w:pPr>
            <w:r>
              <w:rPr>
                <w:rFonts w:hint="eastAsia" w:ascii="宋体" w:hAnsi="宋体" w:eastAsia="宋体" w:cs="宋体"/>
                <w:color w:val="auto"/>
                <w:kern w:val="0"/>
                <w:sz w:val="22"/>
              </w:rPr>
              <w:t>24#电梯</w:t>
            </w:r>
          </w:p>
        </w:tc>
        <w:tc>
          <w:tcPr>
            <w:tcW w:w="2200" w:type="dxa"/>
            <w:tcBorders>
              <w:top w:val="nil"/>
              <w:left w:val="nil"/>
              <w:bottom w:val="single" w:color="auto" w:sz="4" w:space="0"/>
              <w:right w:val="single" w:color="auto" w:sz="4" w:space="0"/>
            </w:tcBorders>
            <w:shd w:val="clear" w:color="auto" w:fill="auto"/>
            <w:noWrap/>
            <w:vAlign w:val="center"/>
          </w:tcPr>
          <w:p w14:paraId="6DD69669">
            <w:pPr>
              <w:widowControl/>
              <w:jc w:val="center"/>
              <w:rPr>
                <w:rFonts w:ascii="宋体" w:hAnsi="宋体" w:eastAsia="宋体" w:cs="宋体"/>
                <w:color w:val="auto"/>
                <w:kern w:val="0"/>
                <w:sz w:val="22"/>
              </w:rPr>
            </w:pPr>
            <w:r>
              <w:rPr>
                <w:rFonts w:hint="eastAsia" w:ascii="宋体" w:hAnsi="宋体" w:eastAsia="宋体" w:cs="宋体"/>
                <w:color w:val="auto"/>
                <w:kern w:val="0"/>
                <w:sz w:val="22"/>
              </w:rPr>
              <w:t>上、下</w:t>
            </w:r>
          </w:p>
        </w:tc>
        <w:tc>
          <w:tcPr>
            <w:tcW w:w="1520" w:type="dxa"/>
            <w:tcBorders>
              <w:top w:val="nil"/>
              <w:left w:val="nil"/>
              <w:bottom w:val="single" w:color="auto" w:sz="4" w:space="0"/>
              <w:right w:val="single" w:color="auto" w:sz="4" w:space="0"/>
            </w:tcBorders>
            <w:shd w:val="clear" w:color="auto" w:fill="auto"/>
            <w:noWrap/>
            <w:vAlign w:val="center"/>
          </w:tcPr>
          <w:p w14:paraId="0B44E69E">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r>
      <w:tr w14:paraId="78C69ABD">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vAlign w:val="center"/>
          </w:tcPr>
          <w:p w14:paraId="3E739384">
            <w:pPr>
              <w:widowControl/>
              <w:jc w:val="left"/>
              <w:rPr>
                <w:rFonts w:ascii="宋体" w:hAnsi="宋体" w:eastAsia="宋体" w:cs="宋体"/>
                <w:b/>
                <w:bCs/>
                <w:color w:val="auto"/>
                <w:kern w:val="0"/>
                <w:sz w:val="22"/>
              </w:rPr>
            </w:pPr>
          </w:p>
        </w:tc>
        <w:tc>
          <w:tcPr>
            <w:tcW w:w="4100" w:type="dxa"/>
            <w:tcBorders>
              <w:top w:val="nil"/>
              <w:left w:val="nil"/>
              <w:bottom w:val="single" w:color="auto" w:sz="4" w:space="0"/>
              <w:right w:val="single" w:color="auto" w:sz="4" w:space="0"/>
            </w:tcBorders>
            <w:shd w:val="clear" w:color="auto" w:fill="auto"/>
            <w:noWrap/>
            <w:vAlign w:val="center"/>
          </w:tcPr>
          <w:p w14:paraId="4BBC3908">
            <w:pPr>
              <w:widowControl/>
              <w:jc w:val="left"/>
              <w:rPr>
                <w:rFonts w:ascii="宋体" w:hAnsi="宋体" w:eastAsia="宋体" w:cs="宋体"/>
                <w:color w:val="auto"/>
                <w:kern w:val="0"/>
                <w:sz w:val="22"/>
              </w:rPr>
            </w:pPr>
            <w:r>
              <w:rPr>
                <w:rFonts w:hint="eastAsia" w:ascii="宋体" w:hAnsi="宋体" w:eastAsia="宋体" w:cs="宋体"/>
                <w:color w:val="auto"/>
                <w:kern w:val="0"/>
                <w:sz w:val="22"/>
              </w:rPr>
              <w:t>24#电梯旁走火梯门</w:t>
            </w:r>
          </w:p>
        </w:tc>
        <w:tc>
          <w:tcPr>
            <w:tcW w:w="2200" w:type="dxa"/>
            <w:tcBorders>
              <w:top w:val="nil"/>
              <w:left w:val="nil"/>
              <w:bottom w:val="single" w:color="auto" w:sz="4" w:space="0"/>
              <w:right w:val="single" w:color="auto" w:sz="4" w:space="0"/>
            </w:tcBorders>
            <w:shd w:val="clear" w:color="auto" w:fill="auto"/>
            <w:noWrap/>
            <w:vAlign w:val="center"/>
          </w:tcPr>
          <w:p w14:paraId="0A54853E">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c>
          <w:tcPr>
            <w:tcW w:w="1520" w:type="dxa"/>
            <w:tcBorders>
              <w:top w:val="nil"/>
              <w:left w:val="nil"/>
              <w:bottom w:val="single" w:color="auto" w:sz="4" w:space="0"/>
              <w:right w:val="single" w:color="auto" w:sz="4" w:space="0"/>
            </w:tcBorders>
            <w:shd w:val="clear" w:color="auto" w:fill="auto"/>
            <w:noWrap/>
            <w:vAlign w:val="center"/>
          </w:tcPr>
          <w:p w14:paraId="3C660836">
            <w:pPr>
              <w:widowControl/>
              <w:jc w:val="center"/>
              <w:rPr>
                <w:rFonts w:ascii="宋体" w:hAnsi="宋体" w:eastAsia="宋体" w:cs="宋体"/>
                <w:color w:val="auto"/>
                <w:kern w:val="0"/>
                <w:sz w:val="22"/>
              </w:rPr>
            </w:pPr>
            <w:r>
              <w:rPr>
                <w:rFonts w:hint="eastAsia" w:ascii="宋体" w:hAnsi="宋体" w:eastAsia="宋体" w:cs="宋体"/>
                <w:color w:val="auto"/>
                <w:kern w:val="0"/>
                <w:sz w:val="22"/>
              </w:rPr>
              <w:t>1</w:t>
            </w:r>
          </w:p>
        </w:tc>
      </w:tr>
      <w:tr w14:paraId="6085C2DF">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vAlign w:val="center"/>
          </w:tcPr>
          <w:p w14:paraId="52B7F48D">
            <w:pPr>
              <w:widowControl/>
              <w:jc w:val="left"/>
              <w:rPr>
                <w:rFonts w:ascii="宋体" w:hAnsi="宋体" w:eastAsia="宋体" w:cs="宋体"/>
                <w:b/>
                <w:bCs/>
                <w:color w:val="auto"/>
                <w:kern w:val="0"/>
                <w:sz w:val="22"/>
              </w:rPr>
            </w:pPr>
          </w:p>
        </w:tc>
        <w:tc>
          <w:tcPr>
            <w:tcW w:w="4100" w:type="dxa"/>
            <w:tcBorders>
              <w:top w:val="nil"/>
              <w:left w:val="nil"/>
              <w:bottom w:val="single" w:color="auto" w:sz="4" w:space="0"/>
              <w:right w:val="single" w:color="auto" w:sz="4" w:space="0"/>
            </w:tcBorders>
            <w:shd w:val="clear" w:color="auto" w:fill="auto"/>
            <w:noWrap/>
            <w:vAlign w:val="center"/>
          </w:tcPr>
          <w:p w14:paraId="0E7681B3">
            <w:pPr>
              <w:widowControl/>
              <w:jc w:val="left"/>
              <w:rPr>
                <w:rFonts w:ascii="宋体" w:hAnsi="宋体" w:eastAsia="宋体" w:cs="宋体"/>
                <w:color w:val="auto"/>
                <w:kern w:val="0"/>
                <w:sz w:val="22"/>
              </w:rPr>
            </w:pPr>
            <w:r>
              <w:rPr>
                <w:rFonts w:hint="eastAsia" w:ascii="宋体" w:hAnsi="宋体" w:eastAsia="宋体" w:cs="宋体"/>
                <w:color w:val="auto"/>
                <w:kern w:val="0"/>
                <w:sz w:val="22"/>
              </w:rPr>
              <w:t>25#电梯</w:t>
            </w:r>
          </w:p>
        </w:tc>
        <w:tc>
          <w:tcPr>
            <w:tcW w:w="2200" w:type="dxa"/>
            <w:tcBorders>
              <w:top w:val="nil"/>
              <w:left w:val="nil"/>
              <w:bottom w:val="single" w:color="auto" w:sz="4" w:space="0"/>
              <w:right w:val="single" w:color="auto" w:sz="4" w:space="0"/>
            </w:tcBorders>
            <w:shd w:val="clear" w:color="auto" w:fill="auto"/>
            <w:noWrap/>
            <w:vAlign w:val="center"/>
          </w:tcPr>
          <w:p w14:paraId="082C29C0">
            <w:pPr>
              <w:widowControl/>
              <w:jc w:val="center"/>
              <w:rPr>
                <w:rFonts w:ascii="宋体" w:hAnsi="宋体" w:eastAsia="宋体" w:cs="宋体"/>
                <w:color w:val="auto"/>
                <w:kern w:val="0"/>
                <w:sz w:val="22"/>
              </w:rPr>
            </w:pPr>
            <w:r>
              <w:rPr>
                <w:rFonts w:hint="eastAsia" w:ascii="宋体" w:hAnsi="宋体" w:eastAsia="宋体" w:cs="宋体"/>
                <w:color w:val="auto"/>
                <w:kern w:val="0"/>
                <w:sz w:val="22"/>
              </w:rPr>
              <w:t>上、下</w:t>
            </w:r>
          </w:p>
        </w:tc>
        <w:tc>
          <w:tcPr>
            <w:tcW w:w="1520" w:type="dxa"/>
            <w:tcBorders>
              <w:top w:val="nil"/>
              <w:left w:val="nil"/>
              <w:bottom w:val="single" w:color="auto" w:sz="4" w:space="0"/>
              <w:right w:val="single" w:color="auto" w:sz="4" w:space="0"/>
            </w:tcBorders>
            <w:shd w:val="clear" w:color="auto" w:fill="auto"/>
            <w:noWrap/>
            <w:vAlign w:val="center"/>
          </w:tcPr>
          <w:p w14:paraId="1AAE6CC6">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r>
      <w:tr w14:paraId="0ED3ADC8">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vAlign w:val="center"/>
          </w:tcPr>
          <w:p w14:paraId="08F3EFE9">
            <w:pPr>
              <w:widowControl/>
              <w:jc w:val="left"/>
              <w:rPr>
                <w:rFonts w:ascii="宋体" w:hAnsi="宋体" w:eastAsia="宋体" w:cs="宋体"/>
                <w:b/>
                <w:bCs/>
                <w:color w:val="auto"/>
                <w:kern w:val="0"/>
                <w:sz w:val="22"/>
              </w:rPr>
            </w:pPr>
          </w:p>
        </w:tc>
        <w:tc>
          <w:tcPr>
            <w:tcW w:w="4100" w:type="dxa"/>
            <w:tcBorders>
              <w:top w:val="nil"/>
              <w:left w:val="nil"/>
              <w:bottom w:val="single" w:color="auto" w:sz="4" w:space="0"/>
              <w:right w:val="single" w:color="auto" w:sz="4" w:space="0"/>
            </w:tcBorders>
            <w:shd w:val="clear" w:color="auto" w:fill="auto"/>
            <w:noWrap/>
            <w:vAlign w:val="center"/>
          </w:tcPr>
          <w:p w14:paraId="048A37A8">
            <w:pPr>
              <w:widowControl/>
              <w:jc w:val="left"/>
              <w:rPr>
                <w:rFonts w:ascii="宋体" w:hAnsi="宋体" w:eastAsia="宋体" w:cs="宋体"/>
                <w:color w:val="auto"/>
                <w:kern w:val="0"/>
                <w:sz w:val="22"/>
              </w:rPr>
            </w:pPr>
            <w:r>
              <w:rPr>
                <w:rFonts w:hint="eastAsia" w:ascii="宋体" w:hAnsi="宋体" w:eastAsia="宋体" w:cs="宋体"/>
                <w:color w:val="auto"/>
                <w:kern w:val="0"/>
                <w:sz w:val="22"/>
              </w:rPr>
              <w:t>26#电梯</w:t>
            </w:r>
          </w:p>
        </w:tc>
        <w:tc>
          <w:tcPr>
            <w:tcW w:w="2200" w:type="dxa"/>
            <w:tcBorders>
              <w:top w:val="nil"/>
              <w:left w:val="nil"/>
              <w:bottom w:val="single" w:color="auto" w:sz="4" w:space="0"/>
              <w:right w:val="single" w:color="auto" w:sz="4" w:space="0"/>
            </w:tcBorders>
            <w:shd w:val="clear" w:color="auto" w:fill="auto"/>
            <w:noWrap/>
            <w:vAlign w:val="center"/>
          </w:tcPr>
          <w:p w14:paraId="31B61EC0">
            <w:pPr>
              <w:widowControl/>
              <w:jc w:val="center"/>
              <w:rPr>
                <w:rFonts w:ascii="宋体" w:hAnsi="宋体" w:eastAsia="宋体" w:cs="宋体"/>
                <w:color w:val="auto"/>
                <w:kern w:val="0"/>
                <w:sz w:val="22"/>
              </w:rPr>
            </w:pPr>
            <w:r>
              <w:rPr>
                <w:rFonts w:hint="eastAsia" w:ascii="宋体" w:hAnsi="宋体" w:eastAsia="宋体" w:cs="宋体"/>
                <w:color w:val="auto"/>
                <w:kern w:val="0"/>
                <w:sz w:val="22"/>
              </w:rPr>
              <w:t>上、下</w:t>
            </w:r>
          </w:p>
        </w:tc>
        <w:tc>
          <w:tcPr>
            <w:tcW w:w="1520" w:type="dxa"/>
            <w:tcBorders>
              <w:top w:val="nil"/>
              <w:left w:val="nil"/>
              <w:bottom w:val="single" w:color="auto" w:sz="4" w:space="0"/>
              <w:right w:val="single" w:color="auto" w:sz="4" w:space="0"/>
            </w:tcBorders>
            <w:shd w:val="clear" w:color="auto" w:fill="auto"/>
            <w:noWrap/>
            <w:vAlign w:val="center"/>
          </w:tcPr>
          <w:p w14:paraId="45824A01">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r>
      <w:tr w14:paraId="38402E63">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vAlign w:val="center"/>
          </w:tcPr>
          <w:p w14:paraId="5FE265D1">
            <w:pPr>
              <w:widowControl/>
              <w:jc w:val="left"/>
              <w:rPr>
                <w:rFonts w:ascii="宋体" w:hAnsi="宋体" w:eastAsia="宋体" w:cs="宋体"/>
                <w:b/>
                <w:bCs/>
                <w:color w:val="auto"/>
                <w:kern w:val="0"/>
                <w:sz w:val="22"/>
              </w:rPr>
            </w:pPr>
          </w:p>
        </w:tc>
        <w:tc>
          <w:tcPr>
            <w:tcW w:w="4100" w:type="dxa"/>
            <w:tcBorders>
              <w:top w:val="nil"/>
              <w:left w:val="nil"/>
              <w:bottom w:val="single" w:color="auto" w:sz="4" w:space="0"/>
              <w:right w:val="single" w:color="auto" w:sz="4" w:space="0"/>
            </w:tcBorders>
            <w:shd w:val="clear" w:color="auto" w:fill="auto"/>
            <w:noWrap/>
            <w:vAlign w:val="center"/>
          </w:tcPr>
          <w:p w14:paraId="0D9B0991">
            <w:pPr>
              <w:widowControl/>
              <w:jc w:val="left"/>
              <w:rPr>
                <w:rFonts w:ascii="宋体" w:hAnsi="宋体" w:eastAsia="宋体" w:cs="宋体"/>
                <w:color w:val="auto"/>
                <w:kern w:val="0"/>
                <w:sz w:val="22"/>
              </w:rPr>
            </w:pPr>
            <w:r>
              <w:rPr>
                <w:rFonts w:hint="eastAsia" w:ascii="宋体" w:hAnsi="宋体" w:eastAsia="宋体" w:cs="宋体"/>
                <w:color w:val="auto"/>
                <w:kern w:val="0"/>
                <w:sz w:val="22"/>
              </w:rPr>
              <w:t>27#电梯</w:t>
            </w:r>
          </w:p>
        </w:tc>
        <w:tc>
          <w:tcPr>
            <w:tcW w:w="2200" w:type="dxa"/>
            <w:tcBorders>
              <w:top w:val="nil"/>
              <w:left w:val="nil"/>
              <w:bottom w:val="single" w:color="auto" w:sz="4" w:space="0"/>
              <w:right w:val="single" w:color="auto" w:sz="4" w:space="0"/>
            </w:tcBorders>
            <w:shd w:val="clear" w:color="auto" w:fill="auto"/>
            <w:noWrap/>
            <w:vAlign w:val="center"/>
          </w:tcPr>
          <w:p w14:paraId="6320D1C6">
            <w:pPr>
              <w:widowControl/>
              <w:jc w:val="center"/>
              <w:rPr>
                <w:rFonts w:ascii="宋体" w:hAnsi="宋体" w:eastAsia="宋体" w:cs="宋体"/>
                <w:color w:val="auto"/>
                <w:kern w:val="0"/>
                <w:sz w:val="22"/>
              </w:rPr>
            </w:pPr>
            <w:r>
              <w:rPr>
                <w:rFonts w:hint="eastAsia" w:ascii="宋体" w:hAnsi="宋体" w:eastAsia="宋体" w:cs="宋体"/>
                <w:color w:val="auto"/>
                <w:kern w:val="0"/>
                <w:sz w:val="22"/>
              </w:rPr>
              <w:t>上、下</w:t>
            </w:r>
          </w:p>
        </w:tc>
        <w:tc>
          <w:tcPr>
            <w:tcW w:w="1520" w:type="dxa"/>
            <w:tcBorders>
              <w:top w:val="nil"/>
              <w:left w:val="nil"/>
              <w:bottom w:val="single" w:color="auto" w:sz="4" w:space="0"/>
              <w:right w:val="single" w:color="auto" w:sz="4" w:space="0"/>
            </w:tcBorders>
            <w:shd w:val="clear" w:color="auto" w:fill="auto"/>
            <w:noWrap/>
            <w:vAlign w:val="center"/>
          </w:tcPr>
          <w:p w14:paraId="5B57DB97">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r>
      <w:tr w14:paraId="41553A36">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vAlign w:val="center"/>
          </w:tcPr>
          <w:p w14:paraId="1AEF5274">
            <w:pPr>
              <w:widowControl/>
              <w:jc w:val="left"/>
              <w:rPr>
                <w:rFonts w:ascii="宋体" w:hAnsi="宋体" w:eastAsia="宋体" w:cs="宋体"/>
                <w:b/>
                <w:bCs/>
                <w:color w:val="auto"/>
                <w:kern w:val="0"/>
                <w:sz w:val="22"/>
              </w:rPr>
            </w:pPr>
          </w:p>
        </w:tc>
        <w:tc>
          <w:tcPr>
            <w:tcW w:w="4100" w:type="dxa"/>
            <w:tcBorders>
              <w:top w:val="nil"/>
              <w:left w:val="nil"/>
              <w:bottom w:val="single" w:color="auto" w:sz="4" w:space="0"/>
              <w:right w:val="single" w:color="auto" w:sz="4" w:space="0"/>
            </w:tcBorders>
            <w:shd w:val="clear" w:color="auto" w:fill="auto"/>
            <w:noWrap/>
            <w:vAlign w:val="center"/>
          </w:tcPr>
          <w:p w14:paraId="4F35470E">
            <w:pPr>
              <w:widowControl/>
              <w:jc w:val="left"/>
              <w:rPr>
                <w:rFonts w:ascii="宋体" w:hAnsi="宋体" w:eastAsia="宋体" w:cs="宋体"/>
                <w:color w:val="auto"/>
                <w:kern w:val="0"/>
                <w:sz w:val="22"/>
              </w:rPr>
            </w:pPr>
            <w:r>
              <w:rPr>
                <w:rFonts w:hint="eastAsia" w:ascii="宋体" w:hAnsi="宋体" w:eastAsia="宋体" w:cs="宋体"/>
                <w:color w:val="auto"/>
                <w:kern w:val="0"/>
                <w:sz w:val="22"/>
              </w:rPr>
              <w:t>27#电梯旁走火梯门</w:t>
            </w:r>
          </w:p>
        </w:tc>
        <w:tc>
          <w:tcPr>
            <w:tcW w:w="2200" w:type="dxa"/>
            <w:tcBorders>
              <w:top w:val="nil"/>
              <w:left w:val="nil"/>
              <w:bottom w:val="single" w:color="auto" w:sz="4" w:space="0"/>
              <w:right w:val="single" w:color="auto" w:sz="4" w:space="0"/>
            </w:tcBorders>
            <w:shd w:val="clear" w:color="auto" w:fill="auto"/>
            <w:noWrap/>
            <w:vAlign w:val="center"/>
          </w:tcPr>
          <w:p w14:paraId="2E570799">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c>
          <w:tcPr>
            <w:tcW w:w="1520" w:type="dxa"/>
            <w:tcBorders>
              <w:top w:val="nil"/>
              <w:left w:val="nil"/>
              <w:bottom w:val="single" w:color="auto" w:sz="4" w:space="0"/>
              <w:right w:val="single" w:color="auto" w:sz="4" w:space="0"/>
            </w:tcBorders>
            <w:shd w:val="clear" w:color="auto" w:fill="auto"/>
            <w:noWrap/>
            <w:vAlign w:val="center"/>
          </w:tcPr>
          <w:p w14:paraId="1ADB5DBA">
            <w:pPr>
              <w:widowControl/>
              <w:jc w:val="center"/>
              <w:rPr>
                <w:rFonts w:ascii="宋体" w:hAnsi="宋体" w:eastAsia="宋体" w:cs="宋体"/>
                <w:color w:val="auto"/>
                <w:kern w:val="0"/>
                <w:sz w:val="22"/>
              </w:rPr>
            </w:pPr>
            <w:r>
              <w:rPr>
                <w:rFonts w:hint="eastAsia" w:ascii="宋体" w:hAnsi="宋体" w:eastAsia="宋体" w:cs="宋体"/>
                <w:color w:val="auto"/>
                <w:kern w:val="0"/>
                <w:sz w:val="22"/>
              </w:rPr>
              <w:t>1</w:t>
            </w:r>
          </w:p>
        </w:tc>
      </w:tr>
      <w:tr w14:paraId="7D88DE4D">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vAlign w:val="center"/>
          </w:tcPr>
          <w:p w14:paraId="4263A613">
            <w:pPr>
              <w:widowControl/>
              <w:jc w:val="left"/>
              <w:rPr>
                <w:rFonts w:ascii="宋体" w:hAnsi="宋体" w:eastAsia="宋体" w:cs="宋体"/>
                <w:b/>
                <w:bCs/>
                <w:color w:val="auto"/>
                <w:kern w:val="0"/>
                <w:sz w:val="22"/>
              </w:rPr>
            </w:pPr>
          </w:p>
        </w:tc>
        <w:tc>
          <w:tcPr>
            <w:tcW w:w="4100" w:type="dxa"/>
            <w:tcBorders>
              <w:top w:val="nil"/>
              <w:left w:val="nil"/>
              <w:bottom w:val="single" w:color="auto" w:sz="4" w:space="0"/>
              <w:right w:val="single" w:color="auto" w:sz="4" w:space="0"/>
            </w:tcBorders>
            <w:shd w:val="clear" w:color="auto" w:fill="auto"/>
            <w:noWrap/>
            <w:vAlign w:val="center"/>
          </w:tcPr>
          <w:p w14:paraId="19ABD257">
            <w:pPr>
              <w:widowControl/>
              <w:jc w:val="left"/>
              <w:rPr>
                <w:rFonts w:ascii="宋体" w:hAnsi="宋体" w:eastAsia="宋体" w:cs="宋体"/>
                <w:color w:val="auto"/>
                <w:kern w:val="0"/>
                <w:sz w:val="22"/>
              </w:rPr>
            </w:pPr>
            <w:r>
              <w:rPr>
                <w:rFonts w:hint="eastAsia" w:ascii="宋体" w:hAnsi="宋体" w:eastAsia="宋体" w:cs="宋体"/>
                <w:color w:val="auto"/>
                <w:kern w:val="0"/>
                <w:sz w:val="22"/>
              </w:rPr>
              <w:t>28#电梯</w:t>
            </w:r>
          </w:p>
        </w:tc>
        <w:tc>
          <w:tcPr>
            <w:tcW w:w="2200" w:type="dxa"/>
            <w:tcBorders>
              <w:top w:val="nil"/>
              <w:left w:val="nil"/>
              <w:bottom w:val="single" w:color="auto" w:sz="4" w:space="0"/>
              <w:right w:val="single" w:color="auto" w:sz="4" w:space="0"/>
            </w:tcBorders>
            <w:shd w:val="clear" w:color="auto" w:fill="auto"/>
            <w:noWrap/>
            <w:vAlign w:val="center"/>
          </w:tcPr>
          <w:p w14:paraId="2C31875A">
            <w:pPr>
              <w:widowControl/>
              <w:jc w:val="center"/>
              <w:rPr>
                <w:rFonts w:ascii="宋体" w:hAnsi="宋体" w:eastAsia="宋体" w:cs="宋体"/>
                <w:color w:val="auto"/>
                <w:kern w:val="0"/>
                <w:sz w:val="22"/>
              </w:rPr>
            </w:pPr>
            <w:r>
              <w:rPr>
                <w:rFonts w:hint="eastAsia" w:ascii="宋体" w:hAnsi="宋体" w:eastAsia="宋体" w:cs="宋体"/>
                <w:color w:val="auto"/>
                <w:kern w:val="0"/>
                <w:sz w:val="22"/>
              </w:rPr>
              <w:t>上</w:t>
            </w:r>
          </w:p>
        </w:tc>
        <w:tc>
          <w:tcPr>
            <w:tcW w:w="1520" w:type="dxa"/>
            <w:tcBorders>
              <w:top w:val="nil"/>
              <w:left w:val="nil"/>
              <w:bottom w:val="single" w:color="auto" w:sz="4" w:space="0"/>
              <w:right w:val="single" w:color="auto" w:sz="4" w:space="0"/>
            </w:tcBorders>
            <w:shd w:val="clear" w:color="auto" w:fill="auto"/>
            <w:noWrap/>
            <w:vAlign w:val="center"/>
          </w:tcPr>
          <w:p w14:paraId="61096915">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r>
      <w:tr w14:paraId="250153C5">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vAlign w:val="center"/>
          </w:tcPr>
          <w:p w14:paraId="46F9E6B8">
            <w:pPr>
              <w:widowControl/>
              <w:jc w:val="left"/>
              <w:rPr>
                <w:rFonts w:ascii="宋体" w:hAnsi="宋体" w:eastAsia="宋体" w:cs="宋体"/>
                <w:b/>
                <w:bCs/>
                <w:color w:val="auto"/>
                <w:kern w:val="0"/>
                <w:sz w:val="22"/>
              </w:rPr>
            </w:pPr>
          </w:p>
        </w:tc>
        <w:tc>
          <w:tcPr>
            <w:tcW w:w="4100" w:type="dxa"/>
            <w:tcBorders>
              <w:top w:val="nil"/>
              <w:left w:val="nil"/>
              <w:bottom w:val="single" w:color="auto" w:sz="4" w:space="0"/>
              <w:right w:val="single" w:color="auto" w:sz="4" w:space="0"/>
            </w:tcBorders>
            <w:shd w:val="clear" w:color="auto" w:fill="auto"/>
            <w:noWrap/>
            <w:vAlign w:val="center"/>
          </w:tcPr>
          <w:p w14:paraId="5E6E11C7">
            <w:pPr>
              <w:widowControl/>
              <w:jc w:val="left"/>
              <w:rPr>
                <w:rFonts w:ascii="宋体" w:hAnsi="宋体" w:eastAsia="宋体" w:cs="宋体"/>
                <w:color w:val="auto"/>
                <w:kern w:val="0"/>
                <w:sz w:val="22"/>
              </w:rPr>
            </w:pPr>
            <w:r>
              <w:rPr>
                <w:rFonts w:hint="eastAsia" w:ascii="宋体" w:hAnsi="宋体" w:eastAsia="宋体" w:cs="宋体"/>
                <w:color w:val="auto"/>
                <w:kern w:val="0"/>
                <w:sz w:val="22"/>
              </w:rPr>
              <w:t>29#电梯</w:t>
            </w:r>
          </w:p>
        </w:tc>
        <w:tc>
          <w:tcPr>
            <w:tcW w:w="2200" w:type="dxa"/>
            <w:tcBorders>
              <w:top w:val="nil"/>
              <w:left w:val="nil"/>
              <w:bottom w:val="single" w:color="auto" w:sz="4" w:space="0"/>
              <w:right w:val="single" w:color="auto" w:sz="4" w:space="0"/>
            </w:tcBorders>
            <w:shd w:val="clear" w:color="auto" w:fill="auto"/>
            <w:noWrap/>
            <w:vAlign w:val="center"/>
          </w:tcPr>
          <w:p w14:paraId="2E652E31">
            <w:pPr>
              <w:widowControl/>
              <w:jc w:val="center"/>
              <w:rPr>
                <w:rFonts w:ascii="宋体" w:hAnsi="宋体" w:eastAsia="宋体" w:cs="宋体"/>
                <w:color w:val="auto"/>
                <w:kern w:val="0"/>
                <w:sz w:val="22"/>
              </w:rPr>
            </w:pPr>
            <w:r>
              <w:rPr>
                <w:rFonts w:hint="eastAsia" w:ascii="宋体" w:hAnsi="宋体" w:eastAsia="宋体" w:cs="宋体"/>
                <w:color w:val="auto"/>
                <w:kern w:val="0"/>
                <w:sz w:val="22"/>
              </w:rPr>
              <w:t>上</w:t>
            </w:r>
          </w:p>
        </w:tc>
        <w:tc>
          <w:tcPr>
            <w:tcW w:w="1520" w:type="dxa"/>
            <w:tcBorders>
              <w:top w:val="nil"/>
              <w:left w:val="nil"/>
              <w:bottom w:val="single" w:color="auto" w:sz="4" w:space="0"/>
              <w:right w:val="single" w:color="auto" w:sz="4" w:space="0"/>
            </w:tcBorders>
            <w:shd w:val="clear" w:color="auto" w:fill="auto"/>
            <w:noWrap/>
            <w:vAlign w:val="center"/>
          </w:tcPr>
          <w:p w14:paraId="7FD790D2">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r>
      <w:tr w14:paraId="41B7F87D">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vAlign w:val="center"/>
          </w:tcPr>
          <w:p w14:paraId="71B63614">
            <w:pPr>
              <w:widowControl/>
              <w:jc w:val="left"/>
              <w:rPr>
                <w:rFonts w:ascii="宋体" w:hAnsi="宋体" w:eastAsia="宋体" w:cs="宋体"/>
                <w:b/>
                <w:bCs/>
                <w:color w:val="auto"/>
                <w:kern w:val="0"/>
                <w:sz w:val="22"/>
              </w:rPr>
            </w:pPr>
          </w:p>
        </w:tc>
        <w:tc>
          <w:tcPr>
            <w:tcW w:w="4100" w:type="dxa"/>
            <w:tcBorders>
              <w:top w:val="nil"/>
              <w:left w:val="nil"/>
              <w:bottom w:val="single" w:color="auto" w:sz="4" w:space="0"/>
              <w:right w:val="single" w:color="auto" w:sz="4" w:space="0"/>
            </w:tcBorders>
            <w:shd w:val="clear" w:color="auto" w:fill="auto"/>
            <w:noWrap/>
            <w:vAlign w:val="center"/>
          </w:tcPr>
          <w:p w14:paraId="0F30351E">
            <w:pPr>
              <w:widowControl/>
              <w:jc w:val="left"/>
              <w:rPr>
                <w:rFonts w:ascii="宋体" w:hAnsi="宋体" w:eastAsia="宋体" w:cs="宋体"/>
                <w:color w:val="auto"/>
                <w:kern w:val="0"/>
                <w:sz w:val="22"/>
              </w:rPr>
            </w:pPr>
            <w:r>
              <w:rPr>
                <w:rFonts w:hint="eastAsia" w:ascii="宋体" w:hAnsi="宋体" w:eastAsia="宋体" w:cs="宋体"/>
                <w:color w:val="auto"/>
                <w:kern w:val="0"/>
                <w:sz w:val="22"/>
              </w:rPr>
              <w:t>30#电梯</w:t>
            </w:r>
          </w:p>
        </w:tc>
        <w:tc>
          <w:tcPr>
            <w:tcW w:w="2200" w:type="dxa"/>
            <w:tcBorders>
              <w:top w:val="nil"/>
              <w:left w:val="nil"/>
              <w:bottom w:val="single" w:color="auto" w:sz="4" w:space="0"/>
              <w:right w:val="single" w:color="auto" w:sz="4" w:space="0"/>
            </w:tcBorders>
            <w:shd w:val="clear" w:color="auto" w:fill="auto"/>
            <w:noWrap/>
            <w:vAlign w:val="center"/>
          </w:tcPr>
          <w:p w14:paraId="554DE1B0">
            <w:pPr>
              <w:widowControl/>
              <w:jc w:val="center"/>
              <w:rPr>
                <w:rFonts w:ascii="宋体" w:hAnsi="宋体" w:eastAsia="宋体" w:cs="宋体"/>
                <w:color w:val="auto"/>
                <w:kern w:val="0"/>
                <w:sz w:val="22"/>
              </w:rPr>
            </w:pPr>
            <w:r>
              <w:rPr>
                <w:rFonts w:hint="eastAsia" w:ascii="宋体" w:hAnsi="宋体" w:eastAsia="宋体" w:cs="宋体"/>
                <w:color w:val="auto"/>
                <w:kern w:val="0"/>
                <w:sz w:val="22"/>
              </w:rPr>
              <w:t>上、下</w:t>
            </w:r>
          </w:p>
        </w:tc>
        <w:tc>
          <w:tcPr>
            <w:tcW w:w="1520" w:type="dxa"/>
            <w:tcBorders>
              <w:top w:val="nil"/>
              <w:left w:val="nil"/>
              <w:bottom w:val="single" w:color="auto" w:sz="4" w:space="0"/>
              <w:right w:val="single" w:color="auto" w:sz="4" w:space="0"/>
            </w:tcBorders>
            <w:shd w:val="clear" w:color="auto" w:fill="auto"/>
            <w:noWrap/>
            <w:vAlign w:val="center"/>
          </w:tcPr>
          <w:p w14:paraId="578C2C5D">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r>
      <w:tr w14:paraId="427437C2">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vAlign w:val="center"/>
          </w:tcPr>
          <w:p w14:paraId="3754BFC8">
            <w:pPr>
              <w:widowControl/>
              <w:jc w:val="left"/>
              <w:rPr>
                <w:rFonts w:ascii="宋体" w:hAnsi="宋体" w:eastAsia="宋体" w:cs="宋体"/>
                <w:b/>
                <w:bCs/>
                <w:color w:val="auto"/>
                <w:kern w:val="0"/>
                <w:sz w:val="22"/>
              </w:rPr>
            </w:pPr>
          </w:p>
        </w:tc>
        <w:tc>
          <w:tcPr>
            <w:tcW w:w="4100" w:type="dxa"/>
            <w:tcBorders>
              <w:top w:val="nil"/>
              <w:left w:val="nil"/>
              <w:bottom w:val="single" w:color="auto" w:sz="4" w:space="0"/>
              <w:right w:val="single" w:color="auto" w:sz="4" w:space="0"/>
            </w:tcBorders>
            <w:shd w:val="clear" w:color="auto" w:fill="auto"/>
            <w:noWrap/>
            <w:vAlign w:val="center"/>
          </w:tcPr>
          <w:p w14:paraId="65975550">
            <w:pPr>
              <w:widowControl/>
              <w:jc w:val="left"/>
              <w:rPr>
                <w:rFonts w:ascii="宋体" w:hAnsi="宋体" w:eastAsia="宋体" w:cs="宋体"/>
                <w:color w:val="auto"/>
                <w:kern w:val="0"/>
                <w:sz w:val="22"/>
              </w:rPr>
            </w:pPr>
            <w:r>
              <w:rPr>
                <w:rFonts w:hint="eastAsia" w:ascii="宋体" w:hAnsi="宋体" w:eastAsia="宋体" w:cs="宋体"/>
                <w:color w:val="auto"/>
                <w:kern w:val="0"/>
                <w:sz w:val="22"/>
              </w:rPr>
              <w:t>31#电梯</w:t>
            </w:r>
          </w:p>
        </w:tc>
        <w:tc>
          <w:tcPr>
            <w:tcW w:w="2200" w:type="dxa"/>
            <w:tcBorders>
              <w:top w:val="nil"/>
              <w:left w:val="nil"/>
              <w:bottom w:val="single" w:color="auto" w:sz="4" w:space="0"/>
              <w:right w:val="single" w:color="auto" w:sz="4" w:space="0"/>
            </w:tcBorders>
            <w:shd w:val="clear" w:color="auto" w:fill="auto"/>
            <w:noWrap/>
            <w:vAlign w:val="center"/>
          </w:tcPr>
          <w:p w14:paraId="3759E703">
            <w:pPr>
              <w:widowControl/>
              <w:jc w:val="center"/>
              <w:rPr>
                <w:rFonts w:ascii="宋体" w:hAnsi="宋体" w:eastAsia="宋体" w:cs="宋体"/>
                <w:color w:val="auto"/>
                <w:kern w:val="0"/>
                <w:sz w:val="22"/>
              </w:rPr>
            </w:pPr>
            <w:r>
              <w:rPr>
                <w:rFonts w:hint="eastAsia" w:ascii="宋体" w:hAnsi="宋体" w:eastAsia="宋体" w:cs="宋体"/>
                <w:color w:val="auto"/>
                <w:kern w:val="0"/>
                <w:sz w:val="22"/>
              </w:rPr>
              <w:t>上、下</w:t>
            </w:r>
          </w:p>
        </w:tc>
        <w:tc>
          <w:tcPr>
            <w:tcW w:w="1520" w:type="dxa"/>
            <w:tcBorders>
              <w:top w:val="nil"/>
              <w:left w:val="nil"/>
              <w:bottom w:val="single" w:color="auto" w:sz="4" w:space="0"/>
              <w:right w:val="single" w:color="auto" w:sz="4" w:space="0"/>
            </w:tcBorders>
            <w:shd w:val="clear" w:color="auto" w:fill="auto"/>
            <w:noWrap/>
            <w:vAlign w:val="center"/>
          </w:tcPr>
          <w:p w14:paraId="3EAE2153">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r>
      <w:tr w14:paraId="42E3D539">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vAlign w:val="center"/>
          </w:tcPr>
          <w:p w14:paraId="6FF56269">
            <w:pPr>
              <w:widowControl/>
              <w:jc w:val="left"/>
              <w:rPr>
                <w:rFonts w:ascii="宋体" w:hAnsi="宋体" w:eastAsia="宋体" w:cs="宋体"/>
                <w:b/>
                <w:bCs/>
                <w:color w:val="auto"/>
                <w:kern w:val="0"/>
                <w:sz w:val="22"/>
              </w:rPr>
            </w:pPr>
          </w:p>
        </w:tc>
        <w:tc>
          <w:tcPr>
            <w:tcW w:w="4100" w:type="dxa"/>
            <w:tcBorders>
              <w:top w:val="nil"/>
              <w:left w:val="nil"/>
              <w:bottom w:val="single" w:color="auto" w:sz="4" w:space="0"/>
              <w:right w:val="single" w:color="auto" w:sz="4" w:space="0"/>
            </w:tcBorders>
            <w:shd w:val="clear" w:color="auto" w:fill="auto"/>
            <w:noWrap/>
            <w:vAlign w:val="center"/>
          </w:tcPr>
          <w:p w14:paraId="6BD0FB9A">
            <w:pPr>
              <w:widowControl/>
              <w:jc w:val="left"/>
              <w:rPr>
                <w:rFonts w:ascii="宋体" w:hAnsi="宋体" w:eastAsia="宋体" w:cs="宋体"/>
                <w:color w:val="auto"/>
                <w:kern w:val="0"/>
                <w:sz w:val="22"/>
              </w:rPr>
            </w:pPr>
            <w:r>
              <w:rPr>
                <w:rFonts w:hint="eastAsia" w:ascii="宋体" w:hAnsi="宋体" w:eastAsia="宋体" w:cs="宋体"/>
                <w:color w:val="auto"/>
                <w:kern w:val="0"/>
                <w:sz w:val="22"/>
              </w:rPr>
              <w:t>32#电梯</w:t>
            </w:r>
          </w:p>
        </w:tc>
        <w:tc>
          <w:tcPr>
            <w:tcW w:w="2200" w:type="dxa"/>
            <w:tcBorders>
              <w:top w:val="nil"/>
              <w:left w:val="nil"/>
              <w:bottom w:val="single" w:color="auto" w:sz="4" w:space="0"/>
              <w:right w:val="single" w:color="auto" w:sz="4" w:space="0"/>
            </w:tcBorders>
            <w:shd w:val="clear" w:color="auto" w:fill="auto"/>
            <w:noWrap/>
            <w:vAlign w:val="center"/>
          </w:tcPr>
          <w:p w14:paraId="6DED511D">
            <w:pPr>
              <w:widowControl/>
              <w:jc w:val="center"/>
              <w:rPr>
                <w:rFonts w:ascii="宋体" w:hAnsi="宋体" w:eastAsia="宋体" w:cs="宋体"/>
                <w:color w:val="auto"/>
                <w:kern w:val="0"/>
                <w:sz w:val="22"/>
              </w:rPr>
            </w:pPr>
            <w:r>
              <w:rPr>
                <w:rFonts w:hint="eastAsia" w:ascii="宋体" w:hAnsi="宋体" w:eastAsia="宋体" w:cs="宋体"/>
                <w:color w:val="auto"/>
                <w:kern w:val="0"/>
                <w:sz w:val="22"/>
              </w:rPr>
              <w:t>上、下</w:t>
            </w:r>
          </w:p>
        </w:tc>
        <w:tc>
          <w:tcPr>
            <w:tcW w:w="1520" w:type="dxa"/>
            <w:tcBorders>
              <w:top w:val="nil"/>
              <w:left w:val="nil"/>
              <w:bottom w:val="single" w:color="auto" w:sz="4" w:space="0"/>
              <w:right w:val="single" w:color="auto" w:sz="4" w:space="0"/>
            </w:tcBorders>
            <w:shd w:val="clear" w:color="auto" w:fill="auto"/>
            <w:noWrap/>
            <w:vAlign w:val="center"/>
          </w:tcPr>
          <w:p w14:paraId="2E3D5653">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r>
      <w:tr w14:paraId="2FA1B1F4">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vAlign w:val="center"/>
          </w:tcPr>
          <w:p w14:paraId="11AE25B6">
            <w:pPr>
              <w:widowControl/>
              <w:jc w:val="left"/>
              <w:rPr>
                <w:rFonts w:ascii="宋体" w:hAnsi="宋体" w:eastAsia="宋体" w:cs="宋体"/>
                <w:b/>
                <w:bCs/>
                <w:color w:val="auto"/>
                <w:kern w:val="0"/>
                <w:sz w:val="22"/>
              </w:rPr>
            </w:pPr>
          </w:p>
        </w:tc>
        <w:tc>
          <w:tcPr>
            <w:tcW w:w="4100" w:type="dxa"/>
            <w:tcBorders>
              <w:top w:val="nil"/>
              <w:left w:val="nil"/>
              <w:bottom w:val="single" w:color="auto" w:sz="4" w:space="0"/>
              <w:right w:val="single" w:color="auto" w:sz="4" w:space="0"/>
            </w:tcBorders>
            <w:shd w:val="clear" w:color="auto" w:fill="auto"/>
            <w:noWrap/>
            <w:vAlign w:val="center"/>
          </w:tcPr>
          <w:p w14:paraId="25CA2D18">
            <w:pPr>
              <w:widowControl/>
              <w:jc w:val="left"/>
              <w:rPr>
                <w:rFonts w:ascii="宋体" w:hAnsi="宋体" w:eastAsia="宋体" w:cs="宋体"/>
                <w:color w:val="auto"/>
                <w:kern w:val="0"/>
                <w:sz w:val="22"/>
              </w:rPr>
            </w:pPr>
            <w:r>
              <w:rPr>
                <w:rFonts w:hint="eastAsia" w:ascii="宋体" w:hAnsi="宋体" w:eastAsia="宋体" w:cs="宋体"/>
                <w:color w:val="auto"/>
                <w:kern w:val="0"/>
                <w:sz w:val="22"/>
              </w:rPr>
              <w:t>33#电梯</w:t>
            </w:r>
          </w:p>
        </w:tc>
        <w:tc>
          <w:tcPr>
            <w:tcW w:w="2200" w:type="dxa"/>
            <w:tcBorders>
              <w:top w:val="nil"/>
              <w:left w:val="nil"/>
              <w:bottom w:val="single" w:color="auto" w:sz="4" w:space="0"/>
              <w:right w:val="single" w:color="auto" w:sz="4" w:space="0"/>
            </w:tcBorders>
            <w:shd w:val="clear" w:color="auto" w:fill="auto"/>
            <w:noWrap/>
            <w:vAlign w:val="center"/>
          </w:tcPr>
          <w:p w14:paraId="7FB6970F">
            <w:pPr>
              <w:widowControl/>
              <w:jc w:val="center"/>
              <w:rPr>
                <w:rFonts w:ascii="宋体" w:hAnsi="宋体" w:eastAsia="宋体" w:cs="宋体"/>
                <w:color w:val="auto"/>
                <w:kern w:val="0"/>
                <w:sz w:val="22"/>
              </w:rPr>
            </w:pPr>
            <w:r>
              <w:rPr>
                <w:rFonts w:hint="eastAsia" w:ascii="宋体" w:hAnsi="宋体" w:eastAsia="宋体" w:cs="宋体"/>
                <w:color w:val="auto"/>
                <w:kern w:val="0"/>
                <w:sz w:val="22"/>
              </w:rPr>
              <w:t>上、下</w:t>
            </w:r>
          </w:p>
        </w:tc>
        <w:tc>
          <w:tcPr>
            <w:tcW w:w="1520" w:type="dxa"/>
            <w:tcBorders>
              <w:top w:val="nil"/>
              <w:left w:val="nil"/>
              <w:bottom w:val="single" w:color="auto" w:sz="4" w:space="0"/>
              <w:right w:val="single" w:color="auto" w:sz="4" w:space="0"/>
            </w:tcBorders>
            <w:shd w:val="clear" w:color="auto" w:fill="auto"/>
            <w:noWrap/>
            <w:vAlign w:val="center"/>
          </w:tcPr>
          <w:p w14:paraId="7717E9CA">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r>
      <w:tr w14:paraId="2E31E0EF">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vAlign w:val="center"/>
          </w:tcPr>
          <w:p w14:paraId="6DF94D4A">
            <w:pPr>
              <w:widowControl/>
              <w:jc w:val="left"/>
              <w:rPr>
                <w:rFonts w:ascii="宋体" w:hAnsi="宋体" w:eastAsia="宋体" w:cs="宋体"/>
                <w:b/>
                <w:bCs/>
                <w:color w:val="auto"/>
                <w:kern w:val="0"/>
                <w:sz w:val="22"/>
              </w:rPr>
            </w:pPr>
          </w:p>
        </w:tc>
        <w:tc>
          <w:tcPr>
            <w:tcW w:w="4100" w:type="dxa"/>
            <w:tcBorders>
              <w:top w:val="nil"/>
              <w:left w:val="nil"/>
              <w:bottom w:val="single" w:color="auto" w:sz="4" w:space="0"/>
              <w:right w:val="single" w:color="auto" w:sz="4" w:space="0"/>
            </w:tcBorders>
            <w:shd w:val="clear" w:color="auto" w:fill="auto"/>
            <w:noWrap/>
            <w:vAlign w:val="center"/>
          </w:tcPr>
          <w:p w14:paraId="0C511E21">
            <w:pPr>
              <w:widowControl/>
              <w:jc w:val="left"/>
              <w:rPr>
                <w:rFonts w:ascii="宋体" w:hAnsi="宋体" w:eastAsia="宋体" w:cs="宋体"/>
                <w:color w:val="auto"/>
                <w:kern w:val="0"/>
                <w:sz w:val="22"/>
              </w:rPr>
            </w:pPr>
            <w:r>
              <w:rPr>
                <w:rFonts w:hint="eastAsia" w:ascii="宋体" w:hAnsi="宋体" w:eastAsia="宋体" w:cs="宋体"/>
                <w:color w:val="auto"/>
                <w:kern w:val="0"/>
                <w:sz w:val="22"/>
              </w:rPr>
              <w:t>34#电梯</w:t>
            </w:r>
          </w:p>
        </w:tc>
        <w:tc>
          <w:tcPr>
            <w:tcW w:w="2200" w:type="dxa"/>
            <w:tcBorders>
              <w:top w:val="nil"/>
              <w:left w:val="nil"/>
              <w:bottom w:val="single" w:color="auto" w:sz="4" w:space="0"/>
              <w:right w:val="single" w:color="auto" w:sz="4" w:space="0"/>
            </w:tcBorders>
            <w:shd w:val="clear" w:color="auto" w:fill="auto"/>
            <w:noWrap/>
            <w:vAlign w:val="center"/>
          </w:tcPr>
          <w:p w14:paraId="34035B9B">
            <w:pPr>
              <w:widowControl/>
              <w:jc w:val="center"/>
              <w:rPr>
                <w:rFonts w:ascii="宋体" w:hAnsi="宋体" w:eastAsia="宋体" w:cs="宋体"/>
                <w:color w:val="auto"/>
                <w:kern w:val="0"/>
                <w:sz w:val="22"/>
              </w:rPr>
            </w:pPr>
            <w:r>
              <w:rPr>
                <w:rFonts w:hint="eastAsia" w:ascii="宋体" w:hAnsi="宋体" w:eastAsia="宋体" w:cs="宋体"/>
                <w:color w:val="auto"/>
                <w:kern w:val="0"/>
                <w:sz w:val="22"/>
              </w:rPr>
              <w:t>上、下</w:t>
            </w:r>
          </w:p>
        </w:tc>
        <w:tc>
          <w:tcPr>
            <w:tcW w:w="1520" w:type="dxa"/>
            <w:tcBorders>
              <w:top w:val="nil"/>
              <w:left w:val="nil"/>
              <w:bottom w:val="single" w:color="auto" w:sz="4" w:space="0"/>
              <w:right w:val="single" w:color="auto" w:sz="4" w:space="0"/>
            </w:tcBorders>
            <w:shd w:val="clear" w:color="auto" w:fill="auto"/>
            <w:noWrap/>
            <w:vAlign w:val="center"/>
          </w:tcPr>
          <w:p w14:paraId="06186994">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r>
      <w:tr w14:paraId="138103BC">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vAlign w:val="center"/>
          </w:tcPr>
          <w:p w14:paraId="065E3639">
            <w:pPr>
              <w:widowControl/>
              <w:jc w:val="left"/>
              <w:rPr>
                <w:rFonts w:ascii="宋体" w:hAnsi="宋体" w:eastAsia="宋体" w:cs="宋体"/>
                <w:b/>
                <w:bCs/>
                <w:color w:val="auto"/>
                <w:kern w:val="0"/>
                <w:sz w:val="22"/>
              </w:rPr>
            </w:pPr>
          </w:p>
        </w:tc>
        <w:tc>
          <w:tcPr>
            <w:tcW w:w="4100" w:type="dxa"/>
            <w:tcBorders>
              <w:top w:val="nil"/>
              <w:left w:val="nil"/>
              <w:bottom w:val="single" w:color="auto" w:sz="4" w:space="0"/>
              <w:right w:val="single" w:color="auto" w:sz="4" w:space="0"/>
            </w:tcBorders>
            <w:shd w:val="clear" w:color="auto" w:fill="auto"/>
            <w:noWrap/>
            <w:vAlign w:val="center"/>
          </w:tcPr>
          <w:p w14:paraId="2D5F3CB4">
            <w:pPr>
              <w:widowControl/>
              <w:jc w:val="left"/>
              <w:rPr>
                <w:rFonts w:ascii="宋体" w:hAnsi="宋体" w:eastAsia="宋体" w:cs="宋体"/>
                <w:color w:val="auto"/>
                <w:kern w:val="0"/>
                <w:sz w:val="22"/>
              </w:rPr>
            </w:pPr>
            <w:r>
              <w:rPr>
                <w:rFonts w:hint="eastAsia" w:ascii="宋体" w:hAnsi="宋体" w:eastAsia="宋体" w:cs="宋体"/>
                <w:color w:val="auto"/>
                <w:kern w:val="0"/>
                <w:sz w:val="22"/>
              </w:rPr>
              <w:t>34#电梯旁走火梯门</w:t>
            </w:r>
          </w:p>
        </w:tc>
        <w:tc>
          <w:tcPr>
            <w:tcW w:w="2200" w:type="dxa"/>
            <w:tcBorders>
              <w:top w:val="nil"/>
              <w:left w:val="nil"/>
              <w:bottom w:val="single" w:color="auto" w:sz="4" w:space="0"/>
              <w:right w:val="single" w:color="auto" w:sz="4" w:space="0"/>
            </w:tcBorders>
            <w:shd w:val="clear" w:color="auto" w:fill="auto"/>
            <w:noWrap/>
            <w:vAlign w:val="center"/>
          </w:tcPr>
          <w:p w14:paraId="67088A25">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c>
          <w:tcPr>
            <w:tcW w:w="1520" w:type="dxa"/>
            <w:tcBorders>
              <w:top w:val="nil"/>
              <w:left w:val="nil"/>
              <w:bottom w:val="single" w:color="auto" w:sz="4" w:space="0"/>
              <w:right w:val="single" w:color="auto" w:sz="4" w:space="0"/>
            </w:tcBorders>
            <w:shd w:val="clear" w:color="auto" w:fill="auto"/>
            <w:noWrap/>
            <w:vAlign w:val="center"/>
          </w:tcPr>
          <w:p w14:paraId="48D941D5">
            <w:pPr>
              <w:widowControl/>
              <w:jc w:val="center"/>
              <w:rPr>
                <w:rFonts w:ascii="宋体" w:hAnsi="宋体" w:eastAsia="宋体" w:cs="宋体"/>
                <w:color w:val="auto"/>
                <w:kern w:val="0"/>
                <w:sz w:val="22"/>
              </w:rPr>
            </w:pPr>
            <w:r>
              <w:rPr>
                <w:rFonts w:hint="eastAsia" w:ascii="宋体" w:hAnsi="宋体" w:eastAsia="宋体" w:cs="宋体"/>
                <w:color w:val="auto"/>
                <w:kern w:val="0"/>
                <w:sz w:val="22"/>
              </w:rPr>
              <w:t>1</w:t>
            </w:r>
          </w:p>
        </w:tc>
      </w:tr>
    </w:tbl>
    <w:p w14:paraId="66F0D14D">
      <w:pPr>
        <w:pStyle w:val="4"/>
        <w:tabs>
          <w:tab w:val="left" w:pos="1395"/>
        </w:tabs>
        <w:spacing w:line="360" w:lineRule="auto"/>
        <w:ind w:firstLine="480"/>
        <w:outlineLvl w:val="1"/>
        <w:rPr>
          <w:rFonts w:ascii="仿宋_GB2312" w:eastAsia="仿宋_GB2312"/>
          <w:color w:val="auto"/>
          <w:sz w:val="24"/>
        </w:rPr>
      </w:pPr>
    </w:p>
    <w:p w14:paraId="3BB3DE94">
      <w:pPr>
        <w:pStyle w:val="5"/>
        <w:spacing w:line="360" w:lineRule="auto"/>
        <w:ind w:firstLine="562"/>
        <w:rPr>
          <w:rFonts w:hAnsi="宋体"/>
          <w:b/>
          <w:color w:val="auto"/>
          <w:sz w:val="28"/>
          <w:szCs w:val="28"/>
        </w:rPr>
      </w:pPr>
      <w:r>
        <w:rPr>
          <w:rFonts w:hint="eastAsia" w:hAnsi="宋体"/>
          <w:b/>
          <w:color w:val="auto"/>
          <w:sz w:val="28"/>
          <w:szCs w:val="28"/>
        </w:rPr>
        <w:t>四、项目需遵循的有关标准和规范</w:t>
      </w:r>
      <w:bookmarkEnd w:id="2"/>
      <w:bookmarkEnd w:id="3"/>
      <w:bookmarkEnd w:id="4"/>
      <w:bookmarkEnd w:id="5"/>
      <w:bookmarkEnd w:id="6"/>
      <w:r>
        <w:rPr>
          <w:rFonts w:hint="eastAsia" w:hAnsi="宋体"/>
          <w:b/>
          <w:color w:val="auto"/>
          <w:sz w:val="28"/>
          <w:szCs w:val="28"/>
        </w:rPr>
        <w:t>（包括但不限于）</w:t>
      </w:r>
    </w:p>
    <w:p w14:paraId="74790838">
      <w:pPr>
        <w:pStyle w:val="4"/>
        <w:spacing w:line="360" w:lineRule="auto"/>
        <w:ind w:firstLine="480" w:firstLineChars="200"/>
        <w:rPr>
          <w:rFonts w:ascii="仿宋_GB2312" w:hAnsi="宋体" w:eastAsia="仿宋_GB2312" w:cs="宋体"/>
          <w:color w:val="auto"/>
          <w:sz w:val="24"/>
        </w:rPr>
      </w:pPr>
      <w:r>
        <w:rPr>
          <w:rFonts w:hint="eastAsia" w:ascii="仿宋_GB2312" w:hAnsi="宋体" w:eastAsia="仿宋_GB2312" w:cs="宋体"/>
          <w:color w:val="auto"/>
          <w:sz w:val="24"/>
        </w:rPr>
        <w:t>除本谈判文件明确标出的技术要求外，各响应文件还必须满足下述文件、国家及行业有关标准规范的要求（如有矛盾，以最新的文件为准）。</w:t>
      </w:r>
    </w:p>
    <w:p w14:paraId="5E8F3F37">
      <w:pPr>
        <w:pStyle w:val="4"/>
        <w:spacing w:line="360" w:lineRule="auto"/>
        <w:ind w:firstLine="480" w:firstLineChars="200"/>
        <w:rPr>
          <w:rFonts w:ascii="仿宋_GB2312" w:hAnsi="宋体" w:eastAsia="仿宋_GB2312" w:cs="宋体"/>
          <w:color w:val="auto"/>
          <w:sz w:val="24"/>
        </w:rPr>
      </w:pPr>
      <w:r>
        <w:rPr>
          <w:rFonts w:hint="eastAsia" w:ascii="仿宋_GB2312" w:hAnsi="宋体" w:eastAsia="仿宋_GB2312" w:cs="宋体"/>
          <w:color w:val="auto"/>
          <w:sz w:val="24"/>
        </w:rPr>
        <w:t>（1）《商用建筑线缆标准》(EIA/TIA-569)</w:t>
      </w:r>
    </w:p>
    <w:p w14:paraId="60DF593D">
      <w:pPr>
        <w:pStyle w:val="4"/>
        <w:spacing w:line="360" w:lineRule="auto"/>
        <w:ind w:firstLine="480" w:firstLineChars="200"/>
        <w:rPr>
          <w:rFonts w:ascii="仿宋_GB2312" w:hAnsi="宋体" w:eastAsia="仿宋_GB2312" w:cs="宋体"/>
          <w:color w:val="auto"/>
          <w:sz w:val="24"/>
        </w:rPr>
      </w:pPr>
      <w:r>
        <w:rPr>
          <w:rFonts w:hint="eastAsia" w:ascii="仿宋_GB2312" w:hAnsi="宋体" w:eastAsia="仿宋_GB2312" w:cs="宋体"/>
          <w:color w:val="auto"/>
          <w:sz w:val="24"/>
        </w:rPr>
        <w:t>（2）《民用建筑电气设计规范（JGJ/T16-92）》</w:t>
      </w:r>
    </w:p>
    <w:p w14:paraId="1732D0C0">
      <w:pPr>
        <w:pStyle w:val="4"/>
        <w:spacing w:line="360" w:lineRule="auto"/>
        <w:ind w:firstLine="480" w:firstLineChars="200"/>
        <w:rPr>
          <w:rFonts w:ascii="仿宋_GB2312" w:hAnsi="宋体" w:eastAsia="仿宋_GB2312" w:cs="宋体"/>
          <w:color w:val="auto"/>
          <w:sz w:val="24"/>
        </w:rPr>
      </w:pPr>
      <w:r>
        <w:rPr>
          <w:rFonts w:hint="eastAsia" w:ascii="仿宋_GB2312" w:hAnsi="宋体" w:eastAsia="仿宋_GB2312" w:cs="宋体"/>
          <w:color w:val="auto"/>
          <w:sz w:val="24"/>
        </w:rPr>
        <w:t>（3）《电气装置安装工程施工及验收规范（GBJ23-90，92）》</w:t>
      </w:r>
    </w:p>
    <w:p w14:paraId="63450761">
      <w:pPr>
        <w:pStyle w:val="4"/>
        <w:spacing w:line="360" w:lineRule="auto"/>
        <w:ind w:firstLine="480" w:firstLineChars="200"/>
        <w:rPr>
          <w:rFonts w:ascii="仿宋_GB2312" w:hAnsi="宋体" w:eastAsia="仿宋_GB2312" w:cs="宋体"/>
          <w:color w:val="auto"/>
          <w:sz w:val="24"/>
        </w:rPr>
      </w:pPr>
      <w:r>
        <w:rPr>
          <w:rFonts w:hint="eastAsia" w:ascii="仿宋_GB2312" w:hAnsi="宋体" w:eastAsia="仿宋_GB2312" w:cs="宋体"/>
          <w:color w:val="auto"/>
          <w:sz w:val="24"/>
        </w:rPr>
        <w:t>（4）《安全防范工程程序与要求（GA/T75-94）》</w:t>
      </w:r>
    </w:p>
    <w:p w14:paraId="0BA59AA3">
      <w:pPr>
        <w:pStyle w:val="4"/>
        <w:spacing w:line="360" w:lineRule="auto"/>
        <w:ind w:firstLine="480" w:firstLineChars="200"/>
        <w:rPr>
          <w:rFonts w:ascii="仿宋_GB2312" w:hAnsi="宋体" w:eastAsia="仿宋_GB2312"/>
          <w:color w:val="auto"/>
          <w:sz w:val="24"/>
        </w:rPr>
      </w:pPr>
      <w:r>
        <w:rPr>
          <w:rFonts w:hint="eastAsia" w:ascii="仿宋_GB2312" w:hAnsi="宋体" w:eastAsia="仿宋_GB2312" w:cs="宋体"/>
          <w:color w:val="auto"/>
          <w:sz w:val="24"/>
        </w:rPr>
        <w:t>（5）</w:t>
      </w:r>
      <w:r>
        <w:rPr>
          <w:rFonts w:hint="eastAsia" w:ascii="仿宋_GB2312" w:hAnsi="宋体" w:eastAsia="仿宋_GB2312"/>
          <w:color w:val="auto"/>
          <w:sz w:val="24"/>
        </w:rPr>
        <w:t>《智能建筑设计标准》GB/T50314-2006</w:t>
      </w:r>
    </w:p>
    <w:p w14:paraId="065BDA94">
      <w:pPr>
        <w:pStyle w:val="4"/>
        <w:spacing w:line="360" w:lineRule="auto"/>
        <w:ind w:firstLine="480" w:firstLineChars="200"/>
        <w:rPr>
          <w:rFonts w:ascii="仿宋_GB2312" w:hAnsi="宋体" w:eastAsia="仿宋_GB2312"/>
          <w:color w:val="auto"/>
          <w:sz w:val="24"/>
        </w:rPr>
      </w:pPr>
      <w:r>
        <w:rPr>
          <w:rFonts w:hint="eastAsia" w:ascii="仿宋_GB2312" w:hAnsi="宋体" w:eastAsia="仿宋_GB2312" w:cs="宋体"/>
          <w:color w:val="auto"/>
          <w:sz w:val="24"/>
        </w:rPr>
        <w:t>（6）</w:t>
      </w:r>
      <w:r>
        <w:rPr>
          <w:rFonts w:hint="eastAsia" w:ascii="仿宋_GB2312" w:hAnsi="宋体" w:eastAsia="仿宋_GB2312"/>
          <w:color w:val="auto"/>
          <w:sz w:val="24"/>
        </w:rPr>
        <w:t>《民用建筑设计通则》GB50352-2005</w:t>
      </w:r>
    </w:p>
    <w:p w14:paraId="64DDDD1F">
      <w:pPr>
        <w:pStyle w:val="4"/>
        <w:spacing w:line="360" w:lineRule="auto"/>
        <w:ind w:firstLine="480" w:firstLineChars="200"/>
        <w:rPr>
          <w:rFonts w:ascii="仿宋_GB2312" w:hAnsi="宋体" w:eastAsia="仿宋_GB2312"/>
          <w:color w:val="auto"/>
          <w:sz w:val="24"/>
        </w:rPr>
      </w:pPr>
      <w:r>
        <w:rPr>
          <w:rFonts w:hint="eastAsia" w:ascii="仿宋_GB2312" w:hAnsi="宋体" w:eastAsia="仿宋_GB2312" w:cs="宋体"/>
          <w:color w:val="auto"/>
          <w:sz w:val="24"/>
        </w:rPr>
        <w:t>（7）</w:t>
      </w:r>
      <w:r>
        <w:rPr>
          <w:rFonts w:hint="eastAsia" w:ascii="仿宋_GB2312" w:hAnsi="宋体" w:eastAsia="仿宋_GB2312"/>
          <w:color w:val="auto"/>
          <w:sz w:val="24"/>
        </w:rPr>
        <w:t>《电力装置的继电保护和自动装置设计规范》GB50062-92</w:t>
      </w:r>
    </w:p>
    <w:p w14:paraId="102ECC65">
      <w:pPr>
        <w:pStyle w:val="4"/>
        <w:spacing w:line="360" w:lineRule="auto"/>
        <w:ind w:firstLine="480" w:firstLineChars="200"/>
        <w:rPr>
          <w:rFonts w:ascii="仿宋_GB2312" w:hAnsi="宋体" w:eastAsia="仿宋_GB2312"/>
          <w:color w:val="auto"/>
          <w:sz w:val="24"/>
        </w:rPr>
      </w:pPr>
      <w:r>
        <w:rPr>
          <w:rFonts w:hint="eastAsia" w:ascii="仿宋_GB2312" w:hAnsi="宋体" w:eastAsia="仿宋_GB2312" w:cs="宋体"/>
          <w:color w:val="auto"/>
          <w:sz w:val="24"/>
        </w:rPr>
        <w:t>（8）</w:t>
      </w:r>
      <w:r>
        <w:rPr>
          <w:rFonts w:hint="eastAsia" w:ascii="仿宋_GB2312" w:hAnsi="宋体" w:eastAsia="仿宋_GB2312"/>
          <w:color w:val="auto"/>
          <w:sz w:val="24"/>
        </w:rPr>
        <w:t>《建筑照明设计标准》GB50034-2004</w:t>
      </w:r>
    </w:p>
    <w:p w14:paraId="114B2E60">
      <w:pPr>
        <w:pStyle w:val="4"/>
        <w:spacing w:line="360" w:lineRule="auto"/>
        <w:ind w:firstLine="480" w:firstLineChars="200"/>
        <w:rPr>
          <w:rFonts w:ascii="仿宋_GB2312" w:hAnsi="宋体" w:eastAsia="仿宋_GB2312"/>
          <w:color w:val="auto"/>
          <w:sz w:val="24"/>
        </w:rPr>
      </w:pPr>
      <w:r>
        <w:rPr>
          <w:rFonts w:hint="eastAsia" w:ascii="仿宋_GB2312" w:hAnsi="宋体" w:eastAsia="仿宋_GB2312" w:cs="宋体"/>
          <w:color w:val="auto"/>
          <w:sz w:val="24"/>
        </w:rPr>
        <w:t>（9）</w:t>
      </w:r>
      <w:r>
        <w:rPr>
          <w:rFonts w:hint="eastAsia" w:ascii="仿宋_GB2312" w:hAnsi="宋体" w:eastAsia="仿宋_GB2312"/>
          <w:color w:val="auto"/>
          <w:sz w:val="24"/>
        </w:rPr>
        <w:t>《高层民用建筑设计防火规范》GB50045-95（2005年版）</w:t>
      </w:r>
    </w:p>
    <w:p w14:paraId="63705944">
      <w:pPr>
        <w:pStyle w:val="4"/>
        <w:spacing w:line="360" w:lineRule="auto"/>
        <w:ind w:firstLine="480" w:firstLineChars="200"/>
        <w:rPr>
          <w:rFonts w:ascii="仿宋_GB2312" w:hAnsi="宋体" w:eastAsia="仿宋_GB2312"/>
          <w:color w:val="auto"/>
          <w:sz w:val="24"/>
        </w:rPr>
      </w:pPr>
      <w:r>
        <w:rPr>
          <w:rFonts w:hint="eastAsia" w:ascii="仿宋_GB2312" w:hAnsi="宋体" w:eastAsia="仿宋_GB2312" w:cs="宋体"/>
          <w:color w:val="auto"/>
          <w:sz w:val="24"/>
        </w:rPr>
        <w:t>（10）</w:t>
      </w:r>
      <w:r>
        <w:rPr>
          <w:rFonts w:hint="eastAsia" w:ascii="仿宋_GB2312" w:hAnsi="宋体" w:eastAsia="仿宋_GB2312"/>
          <w:color w:val="auto"/>
          <w:sz w:val="24"/>
        </w:rPr>
        <w:t>《建筑与建筑群综合布线工程设计规范》GB/T50311-2000</w:t>
      </w:r>
    </w:p>
    <w:p w14:paraId="1051AB15">
      <w:pPr>
        <w:pStyle w:val="4"/>
        <w:spacing w:line="360" w:lineRule="auto"/>
        <w:ind w:firstLine="480" w:firstLineChars="200"/>
        <w:rPr>
          <w:rFonts w:ascii="仿宋_GB2312" w:hAnsi="宋体" w:eastAsia="仿宋_GB2312"/>
          <w:color w:val="auto"/>
          <w:sz w:val="24"/>
        </w:rPr>
      </w:pPr>
      <w:r>
        <w:rPr>
          <w:rFonts w:hint="eastAsia" w:ascii="仿宋_GB2312" w:hAnsi="宋体" w:eastAsia="仿宋_GB2312" w:cs="宋体"/>
          <w:color w:val="auto"/>
          <w:sz w:val="24"/>
        </w:rPr>
        <w:t>（11）</w:t>
      </w:r>
      <w:r>
        <w:rPr>
          <w:rFonts w:hint="eastAsia" w:ascii="仿宋_GB2312" w:hAnsi="宋体" w:eastAsia="仿宋_GB2312"/>
          <w:color w:val="auto"/>
          <w:sz w:val="24"/>
        </w:rPr>
        <w:t>《民用闭路监视系统工程技术规范》GB50198-94</w:t>
      </w:r>
    </w:p>
    <w:p w14:paraId="5A2F096E">
      <w:pPr>
        <w:pStyle w:val="4"/>
        <w:spacing w:line="360" w:lineRule="auto"/>
        <w:ind w:firstLine="480" w:firstLineChars="200"/>
        <w:rPr>
          <w:rFonts w:ascii="仿宋_GB2312" w:hAnsi="宋体" w:eastAsia="仿宋_GB2312"/>
          <w:color w:val="auto"/>
          <w:sz w:val="24"/>
        </w:rPr>
      </w:pPr>
      <w:r>
        <w:rPr>
          <w:rFonts w:hint="eastAsia" w:ascii="仿宋_GB2312" w:hAnsi="宋体" w:eastAsia="仿宋_GB2312" w:cs="宋体"/>
          <w:color w:val="auto"/>
          <w:sz w:val="24"/>
        </w:rPr>
        <w:t>（12）</w:t>
      </w:r>
      <w:r>
        <w:rPr>
          <w:rFonts w:hint="eastAsia" w:ascii="仿宋_GB2312" w:hAnsi="宋体" w:eastAsia="仿宋_GB2312"/>
          <w:color w:val="auto"/>
          <w:sz w:val="24"/>
        </w:rPr>
        <w:t>《视频安防监控系统技术要求》GA/T367-2001</w:t>
      </w:r>
    </w:p>
    <w:p w14:paraId="1A28AEB2">
      <w:pPr>
        <w:pStyle w:val="4"/>
        <w:spacing w:line="360" w:lineRule="auto"/>
        <w:ind w:firstLine="480" w:firstLineChars="200"/>
        <w:rPr>
          <w:rFonts w:ascii="仿宋_GB2312" w:hAnsi="宋体" w:eastAsia="仿宋_GB2312"/>
          <w:color w:val="auto"/>
          <w:sz w:val="24"/>
        </w:rPr>
      </w:pPr>
      <w:r>
        <w:rPr>
          <w:rFonts w:hint="eastAsia" w:ascii="仿宋_GB2312" w:hAnsi="宋体" w:eastAsia="仿宋_GB2312" w:cs="宋体"/>
          <w:color w:val="auto"/>
          <w:sz w:val="24"/>
        </w:rPr>
        <w:t>（13）</w:t>
      </w:r>
      <w:r>
        <w:rPr>
          <w:rFonts w:hint="eastAsia" w:ascii="仿宋_GB2312" w:hAnsi="宋体" w:eastAsia="仿宋_GB2312"/>
          <w:color w:val="auto"/>
          <w:sz w:val="24"/>
        </w:rPr>
        <w:t>《火灾自动报警系统设计规范》GB500116-98</w:t>
      </w:r>
    </w:p>
    <w:p w14:paraId="7757EA9B">
      <w:pPr>
        <w:pStyle w:val="4"/>
        <w:spacing w:line="360" w:lineRule="auto"/>
        <w:ind w:firstLine="480" w:firstLineChars="200"/>
        <w:rPr>
          <w:rFonts w:ascii="仿宋_GB2312" w:hAnsi="宋体" w:eastAsia="仿宋_GB2312"/>
          <w:color w:val="auto"/>
          <w:sz w:val="24"/>
        </w:rPr>
      </w:pPr>
      <w:r>
        <w:rPr>
          <w:rFonts w:hint="eastAsia" w:ascii="仿宋_GB2312" w:hAnsi="宋体" w:eastAsia="仿宋_GB2312" w:cs="宋体"/>
          <w:color w:val="auto"/>
          <w:sz w:val="24"/>
        </w:rPr>
        <w:t>（14）</w:t>
      </w:r>
      <w:r>
        <w:rPr>
          <w:rFonts w:hint="eastAsia" w:ascii="仿宋_GB2312" w:hAnsi="宋体" w:eastAsia="仿宋_GB2312"/>
          <w:color w:val="auto"/>
          <w:sz w:val="24"/>
        </w:rPr>
        <w:t>《公共安全工程技术规范》GB50348-2004</w:t>
      </w:r>
    </w:p>
    <w:p w14:paraId="01A2EBD6">
      <w:pPr>
        <w:pStyle w:val="4"/>
        <w:spacing w:line="360" w:lineRule="auto"/>
        <w:ind w:firstLine="480" w:firstLineChars="200"/>
        <w:rPr>
          <w:rFonts w:ascii="仿宋_GB2312" w:hAnsi="宋体" w:eastAsia="仿宋_GB2312"/>
          <w:color w:val="auto"/>
          <w:sz w:val="24"/>
        </w:rPr>
      </w:pPr>
      <w:r>
        <w:rPr>
          <w:rFonts w:hint="eastAsia" w:ascii="仿宋_GB2312" w:hAnsi="宋体" w:eastAsia="仿宋_GB2312" w:cs="宋体"/>
          <w:color w:val="auto"/>
          <w:sz w:val="24"/>
        </w:rPr>
        <w:t>（15）</w:t>
      </w:r>
      <w:r>
        <w:rPr>
          <w:rFonts w:hint="eastAsia" w:ascii="仿宋_GB2312" w:hAnsi="宋体" w:eastAsia="仿宋_GB2312"/>
          <w:color w:val="auto"/>
          <w:sz w:val="24"/>
        </w:rPr>
        <w:t>《电子计算机房设计规范》GB50174-93</w:t>
      </w:r>
    </w:p>
    <w:p w14:paraId="4A6F1C61">
      <w:pPr>
        <w:pStyle w:val="4"/>
        <w:spacing w:line="360" w:lineRule="auto"/>
        <w:ind w:firstLine="480" w:firstLineChars="200"/>
        <w:rPr>
          <w:rFonts w:ascii="仿宋_GB2312" w:hAnsi="宋体" w:eastAsia="仿宋_GB2312"/>
          <w:color w:val="auto"/>
          <w:sz w:val="24"/>
        </w:rPr>
      </w:pPr>
      <w:r>
        <w:rPr>
          <w:rFonts w:hint="eastAsia" w:ascii="仿宋_GB2312" w:hAnsi="宋体" w:eastAsia="仿宋_GB2312" w:cs="宋体"/>
          <w:color w:val="auto"/>
          <w:sz w:val="24"/>
        </w:rPr>
        <w:t>（16）</w:t>
      </w:r>
      <w:r>
        <w:rPr>
          <w:rFonts w:hint="eastAsia" w:ascii="仿宋_GB2312" w:hAnsi="宋体" w:eastAsia="仿宋_GB2312"/>
          <w:color w:val="auto"/>
          <w:sz w:val="24"/>
        </w:rPr>
        <w:t>《建筑物防雷设计规范》GB50057-94（2000年版）</w:t>
      </w:r>
    </w:p>
    <w:p w14:paraId="5AC0D4B1">
      <w:pPr>
        <w:pStyle w:val="4"/>
        <w:spacing w:line="360" w:lineRule="auto"/>
        <w:ind w:firstLine="480" w:firstLineChars="200"/>
        <w:rPr>
          <w:rFonts w:ascii="仿宋_GB2312" w:hAnsi="宋体" w:eastAsia="仿宋_GB2312"/>
          <w:color w:val="auto"/>
          <w:sz w:val="24"/>
        </w:rPr>
      </w:pPr>
      <w:r>
        <w:rPr>
          <w:rFonts w:hint="eastAsia" w:ascii="仿宋_GB2312" w:hAnsi="宋体" w:eastAsia="仿宋_GB2312" w:cs="宋体"/>
          <w:color w:val="auto"/>
          <w:sz w:val="24"/>
        </w:rPr>
        <w:t>（17）</w:t>
      </w:r>
      <w:r>
        <w:rPr>
          <w:rFonts w:hint="eastAsia" w:ascii="仿宋_GB2312" w:hAnsi="宋体" w:eastAsia="仿宋_GB2312"/>
          <w:color w:val="auto"/>
          <w:sz w:val="24"/>
        </w:rPr>
        <w:t>《建筑物电子信息系统防雷技术规范》GB50343-2004</w:t>
      </w:r>
    </w:p>
    <w:p w14:paraId="62E0AC69">
      <w:pPr>
        <w:pStyle w:val="4"/>
        <w:spacing w:line="360" w:lineRule="auto"/>
        <w:ind w:firstLine="480" w:firstLineChars="200"/>
        <w:rPr>
          <w:rFonts w:ascii="仿宋_GB2312" w:hAnsi="宋体" w:eastAsia="仿宋_GB2312"/>
          <w:color w:val="auto"/>
          <w:sz w:val="24"/>
        </w:rPr>
      </w:pPr>
      <w:r>
        <w:rPr>
          <w:rFonts w:hint="eastAsia" w:ascii="仿宋_GB2312" w:hAnsi="宋体" w:eastAsia="仿宋_GB2312" w:cs="宋体"/>
          <w:color w:val="auto"/>
          <w:sz w:val="24"/>
        </w:rPr>
        <w:t>（18）</w:t>
      </w:r>
      <w:r>
        <w:rPr>
          <w:rFonts w:hint="eastAsia" w:ascii="仿宋_GB2312" w:hAnsi="宋体" w:eastAsia="仿宋_GB2312"/>
          <w:color w:val="auto"/>
          <w:sz w:val="24"/>
        </w:rPr>
        <w:t>《工业与民用电力装置的接地设计规范》GBJ65-83</w:t>
      </w:r>
    </w:p>
    <w:p w14:paraId="0505B369">
      <w:pPr>
        <w:pStyle w:val="4"/>
        <w:spacing w:line="360" w:lineRule="auto"/>
        <w:ind w:firstLine="480" w:firstLineChars="200"/>
        <w:rPr>
          <w:rFonts w:ascii="仿宋_GB2312" w:hAnsi="宋体" w:eastAsia="仿宋_GB2312"/>
          <w:color w:val="auto"/>
          <w:sz w:val="24"/>
        </w:rPr>
      </w:pPr>
      <w:r>
        <w:rPr>
          <w:rFonts w:hint="eastAsia" w:ascii="仿宋_GB2312" w:hAnsi="宋体" w:eastAsia="仿宋_GB2312" w:cs="宋体"/>
          <w:color w:val="auto"/>
          <w:sz w:val="24"/>
        </w:rPr>
        <w:t>（19）</w:t>
      </w:r>
      <w:r>
        <w:rPr>
          <w:rFonts w:hint="eastAsia" w:ascii="仿宋_GB2312" w:hAnsi="宋体" w:eastAsia="仿宋_GB2312"/>
          <w:color w:val="auto"/>
          <w:sz w:val="24"/>
        </w:rPr>
        <w:t>《国际综合布线标准》   ISO/IEC11801</w:t>
      </w:r>
    </w:p>
    <w:p w14:paraId="7CAFECFF">
      <w:pPr>
        <w:pStyle w:val="4"/>
        <w:spacing w:line="360" w:lineRule="auto"/>
        <w:ind w:firstLine="480" w:firstLineChars="200"/>
        <w:rPr>
          <w:rFonts w:ascii="仿宋_GB2312" w:hAnsi="宋体" w:eastAsia="仿宋_GB2312"/>
          <w:color w:val="auto"/>
          <w:sz w:val="24"/>
        </w:rPr>
      </w:pPr>
      <w:r>
        <w:rPr>
          <w:rFonts w:hint="eastAsia" w:ascii="仿宋_GB2312" w:hAnsi="宋体" w:eastAsia="仿宋_GB2312" w:cs="宋体"/>
          <w:color w:val="auto"/>
          <w:sz w:val="24"/>
        </w:rPr>
        <w:t>（20）</w:t>
      </w:r>
      <w:r>
        <w:rPr>
          <w:rFonts w:hint="eastAsia" w:ascii="仿宋_GB2312" w:hAnsi="宋体" w:eastAsia="仿宋_GB2312"/>
          <w:color w:val="auto"/>
          <w:sz w:val="24"/>
        </w:rPr>
        <w:t>《民用建筑电气设计规范》JGJ/T 16-92</w:t>
      </w:r>
    </w:p>
    <w:p w14:paraId="5BF5A775">
      <w:pPr>
        <w:pStyle w:val="4"/>
        <w:spacing w:line="360" w:lineRule="auto"/>
        <w:ind w:firstLine="480" w:firstLineChars="200"/>
        <w:rPr>
          <w:rFonts w:ascii="仿宋_GB2312" w:hAnsi="宋体" w:eastAsia="仿宋_GB2312"/>
          <w:color w:val="auto"/>
          <w:sz w:val="24"/>
        </w:rPr>
      </w:pPr>
      <w:r>
        <w:rPr>
          <w:rFonts w:hint="eastAsia" w:ascii="仿宋_GB2312" w:hAnsi="宋体" w:eastAsia="仿宋_GB2312" w:cs="宋体"/>
          <w:color w:val="auto"/>
          <w:sz w:val="24"/>
        </w:rPr>
        <w:t>（21）</w:t>
      </w:r>
      <w:r>
        <w:rPr>
          <w:rFonts w:hint="eastAsia" w:ascii="仿宋_GB2312" w:hAnsi="宋体" w:eastAsia="仿宋_GB2312"/>
          <w:color w:val="auto"/>
          <w:sz w:val="24"/>
        </w:rPr>
        <w:t>《中华人民共和国安全防范行业标准》 GA/T74-94</w:t>
      </w:r>
    </w:p>
    <w:p w14:paraId="6BB6EB14">
      <w:pPr>
        <w:pStyle w:val="4"/>
        <w:spacing w:line="360" w:lineRule="auto"/>
        <w:ind w:firstLine="480" w:firstLineChars="200"/>
        <w:rPr>
          <w:rFonts w:ascii="仿宋_GB2312" w:hAnsi="宋体" w:eastAsia="仿宋_GB2312"/>
          <w:color w:val="auto"/>
          <w:sz w:val="24"/>
        </w:rPr>
      </w:pPr>
      <w:r>
        <w:rPr>
          <w:rFonts w:hint="eastAsia" w:ascii="仿宋_GB2312" w:hAnsi="宋体" w:eastAsia="仿宋_GB2312" w:cs="宋体"/>
          <w:color w:val="auto"/>
          <w:sz w:val="24"/>
        </w:rPr>
        <w:t>（22）</w:t>
      </w:r>
      <w:r>
        <w:rPr>
          <w:rFonts w:hint="eastAsia" w:ascii="仿宋_GB2312" w:hAnsi="宋体" w:eastAsia="仿宋_GB2312"/>
          <w:color w:val="auto"/>
          <w:sz w:val="24"/>
        </w:rPr>
        <w:t>《中华人民共和国公共安全行业标准》 GA/T70-94</w:t>
      </w:r>
    </w:p>
    <w:p w14:paraId="1FD5598E">
      <w:pPr>
        <w:pStyle w:val="5"/>
        <w:spacing w:line="360" w:lineRule="auto"/>
        <w:ind w:firstLine="562"/>
        <w:rPr>
          <w:rFonts w:hAnsi="宋体"/>
          <w:b/>
          <w:color w:val="auto"/>
          <w:sz w:val="28"/>
          <w:szCs w:val="28"/>
        </w:rPr>
      </w:pPr>
      <w:bookmarkStart w:id="7" w:name="_Toc353887059"/>
      <w:bookmarkStart w:id="8" w:name="_Toc235872234"/>
      <w:bookmarkStart w:id="9" w:name="_Toc357022687"/>
      <w:bookmarkStart w:id="10" w:name="_Toc358239242"/>
      <w:bookmarkStart w:id="11" w:name="_Toc359310478"/>
      <w:r>
        <w:rPr>
          <w:rFonts w:hint="eastAsia" w:hAnsi="宋体"/>
          <w:b/>
          <w:color w:val="auto"/>
          <w:sz w:val="28"/>
          <w:szCs w:val="28"/>
        </w:rPr>
        <w:t>五、</w:t>
      </w:r>
      <w:bookmarkEnd w:id="7"/>
      <w:bookmarkEnd w:id="8"/>
      <w:bookmarkEnd w:id="9"/>
      <w:bookmarkEnd w:id="10"/>
      <w:bookmarkEnd w:id="11"/>
      <w:r>
        <w:rPr>
          <w:rFonts w:hint="eastAsia" w:hAnsi="宋体"/>
          <w:b/>
          <w:color w:val="auto"/>
          <w:sz w:val="28"/>
          <w:szCs w:val="28"/>
        </w:rPr>
        <w:t>项目技术要求（供应商应承诺的内容）</w:t>
      </w:r>
    </w:p>
    <w:p w14:paraId="4FC339C7">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（一）门禁系统技术要求</w:t>
      </w:r>
    </w:p>
    <w:p w14:paraId="04BECC83">
      <w:pPr>
        <w:pStyle w:val="5"/>
        <w:spacing w:line="360" w:lineRule="auto"/>
        <w:ind w:firstLine="482"/>
        <w:rPr>
          <w:rFonts w:ascii="仿宋_GB2312" w:hAnsi="宋体" w:eastAsia="仿宋_GB2312"/>
          <w:b/>
          <w:color w:val="auto"/>
          <w:sz w:val="24"/>
        </w:rPr>
      </w:pPr>
      <w:r>
        <w:rPr>
          <w:rFonts w:hint="eastAsia" w:ascii="仿宋_GB2312" w:hAnsi="宋体" w:eastAsia="仿宋_GB2312"/>
          <w:b/>
          <w:color w:val="auto"/>
          <w:sz w:val="24"/>
        </w:rPr>
        <w:t>1、根据医院实际情况，门禁系统需满足以下需求：</w:t>
      </w:r>
    </w:p>
    <w:p w14:paraId="143AC0B3">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本项目的建设内容如下：</w:t>
      </w:r>
    </w:p>
    <w:p w14:paraId="5F89382C">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(1)门禁系统：需对负一楼停车场进行门禁系统建设，门禁点主要布设在每个电梯口、走火通道防火门。具体位置详见《主要门禁刷卡控制部位清单列表》，产品规格要求详见《主要设备及软件技术要求》。</w:t>
      </w:r>
    </w:p>
    <w:p w14:paraId="24950D49">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(2)门控管理平台：通过门控平台将所有门的开闭合状态进行可视化监控，方便管理人员实时了解各门的状态。产品规格要求详见《主要设备及软件技术要求》。</w:t>
      </w:r>
    </w:p>
    <w:p w14:paraId="65C4BEC9">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(3)网络系统：网络交换，在线式网络门禁系统，集中联网、联网至监控中心电脑统一管理。</w:t>
      </w:r>
    </w:p>
    <w:p w14:paraId="0C80450E">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(4)门锁及呼梯主控：实现监控中心对前端所有门禁统一控制，监控中心可根据前端现场情况便捷实现控制前端所有门断电开启与电梯刷卡受控功能的取消（即监控中心控制前端电梯按钮不受刷卡控制）。</w:t>
      </w:r>
    </w:p>
    <w:p w14:paraId="13464A55">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(5)IC卡：能充分利用医院现有饭卡、门禁卡、身份证等卡，进行门禁系统管理。</w:t>
      </w:r>
    </w:p>
    <w:p w14:paraId="74D06B1F">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(6)发卡中心：支持监控中心现有软件平台进行发卡及管理。</w:t>
      </w:r>
    </w:p>
    <w:p w14:paraId="0AD50AB6">
      <w:pPr>
        <w:pStyle w:val="5"/>
        <w:spacing w:line="360" w:lineRule="auto"/>
        <w:ind w:firstLine="562"/>
        <w:rPr>
          <w:rFonts w:ascii="仿宋_GB2312" w:hAnsi="宋体" w:eastAsia="仿宋_GB2312"/>
          <w:b/>
          <w:color w:val="auto"/>
          <w:sz w:val="24"/>
        </w:rPr>
      </w:pPr>
      <w:r>
        <w:rPr>
          <w:rFonts w:hint="eastAsia" w:hAnsi="宋体"/>
          <w:b/>
          <w:color w:val="auto"/>
          <w:sz w:val="28"/>
          <w:szCs w:val="28"/>
        </w:rPr>
        <w:t>六、主要设备及软件技术要求</w:t>
      </w:r>
    </w:p>
    <w:p w14:paraId="5ED24A91">
      <w:pPr>
        <w:pStyle w:val="5"/>
        <w:spacing w:line="360" w:lineRule="auto"/>
        <w:ind w:firstLine="482"/>
        <w:rPr>
          <w:rFonts w:ascii="仿宋_GB2312" w:hAnsi="宋体" w:eastAsia="仿宋_GB2312"/>
          <w:b/>
          <w:color w:val="auto"/>
          <w:sz w:val="24"/>
        </w:rPr>
      </w:pPr>
      <w:r>
        <w:rPr>
          <w:rFonts w:hint="eastAsia" w:ascii="仿宋_GB2312" w:hAnsi="宋体" w:eastAsia="仿宋_GB2312"/>
          <w:b/>
          <w:color w:val="auto"/>
          <w:sz w:val="24"/>
        </w:rPr>
        <w:t>（一）门禁控制器技术指标要求</w:t>
      </w:r>
    </w:p>
    <w:p w14:paraId="63C10AEA">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1、用户数量：支持2.6万持卡人，可扩展到最多可扩展到10万；</w:t>
      </w:r>
    </w:p>
    <w:p w14:paraId="4CBC8271">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2、历史记录：可存储10万条事件记录；</w:t>
      </w:r>
    </w:p>
    <w:p w14:paraId="4B96C18D">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3、通讯方式：TCP/IP通讯，支持跨网段功能；</w:t>
      </w:r>
    </w:p>
    <w:p w14:paraId="2137453B">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4、控制门数量：可控制2个门；</w:t>
      </w:r>
    </w:p>
    <w:p w14:paraId="3FE2156F">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5、读卡器接口：可外接4个Wiegand26/34协议的终端；</w:t>
      </w:r>
    </w:p>
    <w:p w14:paraId="70C199B0">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6、读卡器接口：：Wiegand26/34，兼容HID读卡协议；</w:t>
      </w:r>
    </w:p>
    <w:p w14:paraId="3F52ED7C">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7、读卡器类型：支持接入任何Wiegand26/34协议的设备，如：IC\ID读卡器、指纹识别仪、人脸识别仪、虹膜</w:t>
      </w:r>
      <w:bookmarkStart w:id="12" w:name="_GoBack"/>
      <w:bookmarkEnd w:id="12"/>
      <w:r>
        <w:rPr>
          <w:rFonts w:hint="eastAsia" w:ascii="仿宋_GB2312" w:hAnsi="宋体" w:eastAsia="仿宋_GB2312"/>
          <w:color w:val="auto"/>
          <w:sz w:val="24"/>
        </w:rPr>
        <w:t>识别仪等；</w:t>
      </w:r>
    </w:p>
    <w:p w14:paraId="5E803EE5">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8、防雷级别：网络端口：1KV/0.5KA（8/20us混合波）；</w:t>
      </w:r>
    </w:p>
    <w:p w14:paraId="288B5DAB">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9、设备内置看门狗，确保设备正常运行不出现死机情况；</w:t>
      </w:r>
    </w:p>
    <w:p w14:paraId="01961DE0">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10、快速响应速度，在已存储10万张卡的基础上刷卡响应时间＜0.2s；</w:t>
      </w:r>
    </w:p>
    <w:p w14:paraId="78708667">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11、全端口过流、过压、防雷、防浪涌、防反接、防错接、防静电、防尘保护；</w:t>
      </w:r>
    </w:p>
    <w:p w14:paraId="548A5D92">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12、★支持软件自动搜索安装功能，减轻设备安装前繁琐的准备工作；</w:t>
      </w:r>
    </w:p>
    <w:p w14:paraId="51031DF4">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13、支持卡片数据提回功能，便于因硬盘损坏后能从终端设备提回人员数据；</w:t>
      </w:r>
    </w:p>
    <w:p w14:paraId="4B8F04CC">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14、★支持人员的刷卡有效期和刷卡次数限制功能；</w:t>
      </w:r>
    </w:p>
    <w:p w14:paraId="3C710861">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15、支持硬件布防撤防功能，可与门磁、对射等事件触发产品联动后报警。并可通过按键读头自由切换布防，撤防状态；</w:t>
      </w:r>
    </w:p>
    <w:p w14:paraId="46868B94">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16、★主板具备温度及电压实时监测，便于维护人员维护；</w:t>
      </w:r>
    </w:p>
    <w:p w14:paraId="43B7E410">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17、★支持读卡防探测锁定功能，确保防止利用模拟各种卡号来探测门禁，实现破戒开门；</w:t>
      </w:r>
    </w:p>
    <w:p w14:paraId="3323D1C7">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18、支持外接烟感、火警、匪警信号输入与联动输出；</w:t>
      </w:r>
    </w:p>
    <w:p w14:paraId="074CE113">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19、可外接语音设备，刷卡语音播报事件功能。</w:t>
      </w:r>
    </w:p>
    <w:p w14:paraId="6AD99A75">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20、控制器支持继电器常开、常闭、双稳态（刷卡开、刷卡关）三种工作模式；</w:t>
      </w:r>
    </w:p>
    <w:p w14:paraId="6F9ED736">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21、支持对开门按钮设置开门时段，上班时间可以按出门开关出门，下班后出门开关自动无效，需要读卡才可以开门；</w:t>
      </w:r>
    </w:p>
    <w:p w14:paraId="1FDCA911">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22、控制器支持控制板内返潜回、A\B门、首卡开门、内外确认开门功能；</w:t>
      </w:r>
    </w:p>
    <w:p w14:paraId="18B29FA6">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23、控制器支全卡开门功能，未注册卡开门并同时保存授权；</w:t>
      </w:r>
    </w:p>
    <w:p w14:paraId="41396468">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24、★控制器支持门内人数限制功能，当刷卡人数大于设置上限时，则不允许开门或开闸；</w:t>
      </w:r>
    </w:p>
    <w:p w14:paraId="517A23BC">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25、控制器支持卡片到期提示功能，卡片过期前，读卡开门时会提醒卡片即将过期；</w:t>
      </w:r>
    </w:p>
    <w:p w14:paraId="7473F95B">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26、控制器支持能过外接的键盘读卡器进行卡片授权功能；</w:t>
      </w:r>
    </w:p>
    <w:p w14:paraId="4FA272E5">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27、控制器支持未注册卡报警、黑名单报警功能，并可通过软件通知管理者；</w:t>
      </w:r>
    </w:p>
    <w:p w14:paraId="1F1B3258">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28、★</w:t>
      </w:r>
      <w:r>
        <w:rPr>
          <w:rFonts w:hint="eastAsia" w:ascii="仿宋_GB2312" w:hAnsi="宋体" w:eastAsia="仿宋_GB2312"/>
          <w:color w:val="auto"/>
          <w:sz w:val="24"/>
          <w:lang w:eastAsia="zh-CN"/>
        </w:rPr>
        <w:t>提供</w:t>
      </w:r>
      <w:r>
        <w:rPr>
          <w:rFonts w:hint="eastAsia" w:ascii="仿宋_GB2312" w:hAnsi="宋体" w:eastAsia="仿宋_GB2312"/>
          <w:color w:val="auto"/>
          <w:sz w:val="24"/>
        </w:rPr>
        <w:t>同型号或同系列产品的检测报告</w:t>
      </w:r>
    </w:p>
    <w:p w14:paraId="7DEE7B86">
      <w:pPr>
        <w:pStyle w:val="5"/>
        <w:spacing w:line="360" w:lineRule="auto"/>
        <w:ind w:firstLine="0" w:firstLineChars="0"/>
        <w:rPr>
          <w:rFonts w:ascii="仿宋_GB2312" w:hAnsi="宋体" w:eastAsia="仿宋_GB2312"/>
          <w:color w:val="auto"/>
          <w:sz w:val="24"/>
        </w:rPr>
      </w:pPr>
    </w:p>
    <w:p w14:paraId="60A45836">
      <w:pPr>
        <w:pStyle w:val="5"/>
        <w:spacing w:line="360" w:lineRule="auto"/>
        <w:ind w:firstLine="0" w:firstLineChars="0"/>
        <w:rPr>
          <w:rFonts w:ascii="仿宋_GB2312" w:hAnsi="宋体" w:eastAsia="仿宋_GB2312"/>
          <w:b/>
          <w:color w:val="auto"/>
          <w:sz w:val="24"/>
        </w:rPr>
      </w:pPr>
      <w:r>
        <w:rPr>
          <w:rFonts w:hint="eastAsia" w:ascii="仿宋_GB2312" w:hAnsi="宋体" w:eastAsia="仿宋_GB2312"/>
          <w:b/>
          <w:color w:val="auto"/>
          <w:sz w:val="24"/>
        </w:rPr>
        <w:t>（二）读卡器技术指标要求：</w:t>
      </w:r>
    </w:p>
    <w:p w14:paraId="644275D7">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1、读卡器面板要配备有状态指示灯，在无效卡或有效卡刷卡时，在声音与指示灯上由明显区别。当出现门开启时间过长或其他报警时，读卡器须产生报警提示音。</w:t>
      </w:r>
    </w:p>
    <w:p w14:paraId="1F6CF5E3">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2、工作频率：13.56MHz非接触式智能卡技术。</w:t>
      </w:r>
    </w:p>
    <w:p w14:paraId="6C4D4D8E">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 xml:space="preserve">3、★支持卡类：Mifare 1，CPU卡，二代身份证、居住证、银行IC芯片卡。 </w:t>
      </w:r>
    </w:p>
    <w:p w14:paraId="20DA99E8">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4、读卡模式:智能卡物理卡号；</w:t>
      </w:r>
    </w:p>
    <w:p w14:paraId="7D69C5E0">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5、支持防拆报警功能。</w:t>
      </w:r>
    </w:p>
    <w:p w14:paraId="651642B2">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6、★环氧树脂材料封装，符合IP65，防水。</w:t>
      </w:r>
    </w:p>
    <w:p w14:paraId="10BA4727">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7、异常卡报警：读到异常卡时，读卡模块返回报警信号到管理中心。</w:t>
      </w:r>
    </w:p>
    <w:p w14:paraId="47D1AE1B">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8、★读卡器输出格式：支持Wiegand26，34。</w:t>
      </w:r>
    </w:p>
    <w:p w14:paraId="13A1CB57">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9、读感距离：1～5cm。</w:t>
      </w:r>
    </w:p>
    <w:p w14:paraId="3A45BB64">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10、</w:t>
      </w:r>
      <w:r>
        <w:rPr>
          <w:rFonts w:hint="eastAsia" w:ascii="仿宋_GB2312" w:hAnsi="宋体" w:eastAsia="仿宋_GB2312"/>
          <w:color w:val="auto"/>
          <w:sz w:val="24"/>
          <w:lang w:eastAsia="zh-CN"/>
        </w:rPr>
        <w:t>提供</w:t>
      </w:r>
      <w:r>
        <w:rPr>
          <w:rFonts w:hint="eastAsia" w:ascii="仿宋_GB2312" w:hAnsi="宋体" w:eastAsia="仿宋_GB2312"/>
          <w:color w:val="auto"/>
          <w:sz w:val="24"/>
        </w:rPr>
        <w:t>检测报告</w:t>
      </w:r>
    </w:p>
    <w:p w14:paraId="6A23791A">
      <w:pPr>
        <w:pStyle w:val="5"/>
        <w:spacing w:line="360" w:lineRule="auto"/>
        <w:ind w:firstLine="480"/>
        <w:rPr>
          <w:rFonts w:ascii="仿宋_GB2312" w:hAnsi="宋体" w:eastAsia="仿宋_GB2312"/>
          <w:color w:val="auto"/>
          <w:sz w:val="24"/>
        </w:rPr>
      </w:pPr>
    </w:p>
    <w:p w14:paraId="775545C1">
      <w:pPr>
        <w:pStyle w:val="5"/>
        <w:spacing w:line="360" w:lineRule="auto"/>
        <w:ind w:firstLine="482"/>
        <w:rPr>
          <w:rFonts w:ascii="仿宋_GB2312" w:hAnsi="宋体" w:eastAsia="仿宋_GB2312"/>
          <w:b/>
          <w:color w:val="auto"/>
          <w:sz w:val="24"/>
        </w:rPr>
      </w:pPr>
      <w:r>
        <w:rPr>
          <w:rFonts w:hint="eastAsia" w:ascii="仿宋_GB2312" w:hAnsi="宋体" w:eastAsia="仿宋_GB2312"/>
          <w:b/>
          <w:color w:val="auto"/>
          <w:sz w:val="24"/>
        </w:rPr>
        <w:t>（三）门禁系统软件技术指标要求</w:t>
      </w:r>
    </w:p>
    <w:p w14:paraId="20C115CC">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1、软件支持B/S、C/S 架构 Microsoft. ACCESS及Microsoft. SQL Server数据库；</w:t>
      </w:r>
    </w:p>
    <w:p w14:paraId="3D9F5781">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2、软件系统中包含门禁功能，在线巡更功能、会议签到功能、电梯门禁功能、考勤功能，便于以后满足日常需求；</w:t>
      </w:r>
    </w:p>
    <w:p w14:paraId="7D79C839">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3、软件支持自动搜索、添加设备，便于批量设备安装，节约时间；</w:t>
      </w:r>
    </w:p>
    <w:p w14:paraId="1735368F">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4、软件支持定时提取门禁记录及自动上传门禁数据；</w:t>
      </w:r>
    </w:p>
    <w:p w14:paraId="158FBE72">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5、软件具备数据监控功能，数据监控下软件支持语音播、实时显示当前人员信息、照片、事件状态等；</w:t>
      </w:r>
    </w:p>
    <w:p w14:paraId="0AE1140C">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6、软件支持远程开门功能；</w:t>
      </w:r>
    </w:p>
    <w:p w14:paraId="4021F4FB">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7、软件支持门绑定摄像机功能，每个区分进门和出门，可绑定2个摄像机；</w:t>
      </w:r>
    </w:p>
    <w:p w14:paraId="17F92A49">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8、软件支持电子地图功能，可显示门的状态（开、关）、抓拍现场图片及录像功能；</w:t>
      </w:r>
    </w:p>
    <w:p w14:paraId="4787C80B">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9、软件支持人员定位功能，在快速查到人员最近一次的刷卡地点；</w:t>
      </w:r>
    </w:p>
    <w:p w14:paraId="4D7A4968">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10、软件支持外接LED屏，并与指定门禁控制器绑定，显示刷卡事件信息；</w:t>
      </w:r>
    </w:p>
    <w:p w14:paraId="69EF4D9D">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11、软件支持指定控制器用来考勤、巡更、会议签到功能；</w:t>
      </w:r>
    </w:p>
    <w:p w14:paraId="07360C9C">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12、软件支持设置考勤班次、自动排班、排班表、节假日、请假、出差、刷卡明细、考勤报表功能；</w:t>
      </w:r>
    </w:p>
    <w:p w14:paraId="5D6DFE68">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13、软件支持设置巡更路线、巡更人员、巡更计划、巡更签到、巡更地图、巡更报表功能；</w:t>
      </w:r>
    </w:p>
    <w:p w14:paraId="755D89E5">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14、软件支持会议室管理、会议管理、实时签到、统计报表功能</w:t>
      </w:r>
    </w:p>
    <w:p w14:paraId="2BAC1874">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15、★软件具备计算机软件著作权登记证书</w:t>
      </w:r>
    </w:p>
    <w:p w14:paraId="1165158F">
      <w:pPr>
        <w:rPr>
          <w:color w:val="auto"/>
        </w:rPr>
      </w:pPr>
    </w:p>
    <w:p w14:paraId="2257FAA4">
      <w:pPr>
        <w:pStyle w:val="5"/>
        <w:spacing w:line="360" w:lineRule="auto"/>
        <w:ind w:firstLine="482"/>
        <w:rPr>
          <w:rFonts w:ascii="仿宋_GB2312" w:hAnsi="宋体" w:eastAsia="仿宋_GB2312"/>
          <w:b/>
          <w:color w:val="auto"/>
          <w:sz w:val="24"/>
        </w:rPr>
      </w:pPr>
      <w:r>
        <w:rPr>
          <w:rFonts w:ascii="仿宋_GB2312" w:hAnsi="宋体" w:eastAsia="仿宋_GB2312"/>
          <w:b/>
          <w:color w:val="auto"/>
          <w:sz w:val="24"/>
        </w:rPr>
        <w:t>3</w:t>
      </w:r>
      <w:r>
        <w:rPr>
          <w:rFonts w:hint="eastAsia" w:ascii="仿宋_GB2312" w:hAnsi="宋体" w:eastAsia="仿宋_GB2312"/>
          <w:b/>
          <w:color w:val="auto"/>
          <w:sz w:val="24"/>
        </w:rPr>
        <w:t>.1人员基本信息管理</w:t>
      </w:r>
    </w:p>
    <w:p w14:paraId="339F98A1">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系统可提供丰富的人事资料管理功能，管理单位、个人（用户）信息、用户组的资料。提供单位信息修改功能。提供用户组信息的增加、删除和修改功能。提供用户新增、修改、注销、查询功能。提供部门、角色及角色权限和操作员等信息增加、删除、修改功能。人员信息需至少包含姓名、性别，所在单位，身份证号，联系方式、等个人信息，要求能进行数据实时同步。</w:t>
      </w:r>
    </w:p>
    <w:p w14:paraId="7F0D5AE9">
      <w:pPr>
        <w:pStyle w:val="5"/>
        <w:spacing w:line="360" w:lineRule="auto"/>
        <w:ind w:firstLine="482"/>
        <w:rPr>
          <w:rFonts w:ascii="仿宋_GB2312" w:hAnsi="宋体" w:eastAsia="仿宋_GB2312"/>
          <w:b/>
          <w:color w:val="auto"/>
          <w:sz w:val="24"/>
        </w:rPr>
      </w:pPr>
      <w:r>
        <w:rPr>
          <w:rFonts w:ascii="仿宋_GB2312" w:hAnsi="宋体" w:eastAsia="仿宋_GB2312"/>
          <w:b/>
          <w:color w:val="auto"/>
          <w:sz w:val="24"/>
        </w:rPr>
        <w:t>3</w:t>
      </w:r>
      <w:r>
        <w:rPr>
          <w:rFonts w:hint="eastAsia" w:ascii="仿宋_GB2312" w:hAnsi="宋体" w:eastAsia="仿宋_GB2312"/>
          <w:b/>
          <w:color w:val="auto"/>
          <w:sz w:val="24"/>
        </w:rPr>
        <w:t>.2卡务管理功能</w:t>
      </w:r>
    </w:p>
    <w:p w14:paraId="09B97616">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1、系统支持对IC卡片的入库、发放、报损、挂失、解挂以及回收等日常卡片管理。同时系统支持批量IC卡的发放,也适用于个别的卡片销户操作。</w:t>
      </w:r>
    </w:p>
    <w:p w14:paraId="5336EEFA">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2、系统支持加密采用“一卡一密”方式对卡片进行加密设备，防止卡片复制。</w:t>
      </w:r>
    </w:p>
    <w:p w14:paraId="43233BC7">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3、系统本身应具有临时访客系统及功能，对于外来访客人员，在登记核实身份后发临时IC卡，使得该访客持卡在相应的权限约束下在门禁内使用。其中包括对卡的使用时间延期管理，对于卡的使用权限，修改服务，修改权限进行更改。临时IC卡均由临时卡发卡器授权发行，且记录。</w:t>
      </w:r>
    </w:p>
    <w:p w14:paraId="733A93FA">
      <w:pPr>
        <w:pStyle w:val="5"/>
        <w:spacing w:line="360" w:lineRule="auto"/>
        <w:ind w:firstLine="482"/>
        <w:rPr>
          <w:rFonts w:ascii="仿宋_GB2312" w:hAnsi="宋体" w:eastAsia="仿宋_GB2312"/>
          <w:b/>
          <w:color w:val="auto"/>
          <w:sz w:val="24"/>
        </w:rPr>
      </w:pPr>
      <w:r>
        <w:rPr>
          <w:rFonts w:ascii="仿宋_GB2312" w:hAnsi="宋体" w:eastAsia="仿宋_GB2312"/>
          <w:b/>
          <w:color w:val="auto"/>
          <w:sz w:val="24"/>
        </w:rPr>
        <w:t>3</w:t>
      </w:r>
      <w:r>
        <w:rPr>
          <w:rFonts w:hint="eastAsia" w:ascii="仿宋_GB2312" w:hAnsi="宋体" w:eastAsia="仿宋_GB2312"/>
          <w:b/>
          <w:color w:val="auto"/>
          <w:sz w:val="24"/>
        </w:rPr>
        <w:t>.3门禁通道管理</w:t>
      </w:r>
    </w:p>
    <w:p w14:paraId="5B3924A1">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1、人员进出安全检查记录。持有有效验证方式卡，通过住院部通道闸机，刷卡通行，并亮起允许通行灯；如遇非法卡或失效卡则发出声光报警禁止通行。</w:t>
      </w:r>
    </w:p>
    <w:p w14:paraId="75A645F1">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2、能自动验证人员的进出权限，记录出入人员的基本信息和时间信息，包括开门的日期、时间、卡号、姓名等持卡人出入信息。</w:t>
      </w:r>
    </w:p>
    <w:p w14:paraId="0E4709B1">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3、系统应支持黑白名单管理功能，对于黑名单人员刷卡时应禁止进入并发出声光报警；对于非探视时间，可设置探视人员白名单，只有在白名单内的人员才能通行。</w:t>
      </w:r>
    </w:p>
    <w:p w14:paraId="079B9BE8">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4、能通过系统控制开关道闸、定时开关通道闸：管理员可实现远程控制开关通道闸、定时开关道闸、刷卡开闸等多种通道门禁开闸方式。持卡者进出通道刷卡，系统根据不同情况，有卡感应声音。</w:t>
      </w:r>
    </w:p>
    <w:p w14:paraId="2DC98027">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5、电子地图：可以对应建筑平面图和通道门禁安装的实际位置设置通道门禁点，对各控制点进行直接的开/闭控制、监视，如对门开关状态的监视等。</w:t>
      </w:r>
    </w:p>
    <w:p w14:paraId="46182C70">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6、身份甄别</w:t>
      </w:r>
    </w:p>
    <w:p w14:paraId="6D429E70">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门禁系统使用医院现有的饭卡进行身份识别。入住住院部的病人持饭卡在闸机上刷卡后，方能进出；系统支持同时识别一张卡，每次能通过一人。</w:t>
      </w:r>
    </w:p>
    <w:p w14:paraId="51DA60DD">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8、一键开闸和高峰放行</w:t>
      </w:r>
    </w:p>
    <w:p w14:paraId="1DF0F902">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出现突发事件，如火灾、地震等意外时，通过系统自动、人工控制按钮、消防系统联动等方式，可以使全部闸机通道立即开启，让人员可以迅速疏散至楼外。当供电系统意外断电时，闸机通道应自动处于开启位置，供电恢复后，闸机通道自动复原。对于人员出入高峰期，可实行通道放行刷卡方式。</w:t>
      </w:r>
    </w:p>
    <w:p w14:paraId="48E884CE">
      <w:pPr>
        <w:pStyle w:val="5"/>
        <w:spacing w:line="360" w:lineRule="auto"/>
        <w:ind w:firstLine="482"/>
        <w:rPr>
          <w:rFonts w:ascii="仿宋_GB2312" w:hAnsi="宋体" w:eastAsia="仿宋_GB2312"/>
          <w:b/>
          <w:color w:val="auto"/>
          <w:sz w:val="24"/>
        </w:rPr>
      </w:pPr>
      <w:r>
        <w:rPr>
          <w:rFonts w:ascii="仿宋_GB2312" w:hAnsi="宋体" w:eastAsia="仿宋_GB2312"/>
          <w:b/>
          <w:color w:val="auto"/>
          <w:sz w:val="24"/>
        </w:rPr>
        <w:t>3</w:t>
      </w:r>
      <w:r>
        <w:rPr>
          <w:rFonts w:hint="eastAsia" w:ascii="仿宋_GB2312" w:hAnsi="宋体" w:eastAsia="仿宋_GB2312"/>
          <w:b/>
          <w:color w:val="auto"/>
          <w:sz w:val="24"/>
        </w:rPr>
        <w:t>.4系统管理</w:t>
      </w:r>
    </w:p>
    <w:p w14:paraId="2F6368E7">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1、权限管理：可建立不同级别的系统操作员，并设置口令、权限，便于系统的管理和维护，各个操作员只能根据自己的权限进行系统操作、管理。可按用户、组、角色方式授权。</w:t>
      </w:r>
    </w:p>
    <w:p w14:paraId="2166DCA9">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系统能方便的提供设置按门、按时间、按人员设置有效开门区域、有效开门时段的权限。可对人员进行权限分级管理，包括出入住院楼的权限，限定出入时间。刷卡识别验证可分别设置有效时段和管控区域。</w:t>
      </w:r>
    </w:p>
    <w:p w14:paraId="499E1DF5">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2、事件管理：系统对操作员事件、门禁控制器配置事件以及各类故障事件等进行管理，可查询。</w:t>
      </w:r>
    </w:p>
    <w:p w14:paraId="48B16ACA">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3、日志管理：系统内操作都应生成日志，记录操作人的相关行为，只有管理员授权人员才可以查看，不能删除日志，需保留至少3个月记录流水，可导出日志信息便于查看。</w:t>
      </w:r>
    </w:p>
    <w:p w14:paraId="366B43A1">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4、报表管理：系统具有自定义报表系统，用户可根据实际情况自己设计报表，或对已设计好的报表进行调整，可定制。</w:t>
      </w:r>
    </w:p>
    <w:p w14:paraId="33307B4C">
      <w:pPr>
        <w:pStyle w:val="5"/>
        <w:spacing w:line="360" w:lineRule="auto"/>
        <w:ind w:firstLine="482"/>
        <w:rPr>
          <w:rFonts w:ascii="仿宋_GB2312" w:hAnsi="宋体" w:eastAsia="仿宋_GB2312"/>
          <w:b/>
          <w:color w:val="auto"/>
          <w:sz w:val="24"/>
        </w:rPr>
      </w:pPr>
      <w:r>
        <w:rPr>
          <w:rFonts w:ascii="仿宋_GB2312" w:hAnsi="宋体" w:eastAsia="仿宋_GB2312"/>
          <w:b/>
          <w:color w:val="auto"/>
          <w:sz w:val="24"/>
        </w:rPr>
        <w:t>3</w:t>
      </w:r>
      <w:r>
        <w:rPr>
          <w:rFonts w:hint="eastAsia" w:ascii="仿宋_GB2312" w:hAnsi="宋体" w:eastAsia="仿宋_GB2312"/>
          <w:b/>
          <w:color w:val="auto"/>
          <w:sz w:val="24"/>
        </w:rPr>
        <w:t>.5数据统计分析功能</w:t>
      </w:r>
    </w:p>
    <w:p w14:paraId="4B6BDEA4">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通过门禁系统管理平台，能够将人员出入情况记录统计出来，并且能通过平台进行查询。</w:t>
      </w:r>
    </w:p>
    <w:p w14:paraId="69AC3D1E">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针对突发事件的时候信息查询，管理人员只需要在客户端界面打开的刷卡信息查询出，输入人员信息（比如姓名、卡号等等），即可将该人员的所有信息都归总出来，并可导出成Excel格式，便于做出判断。管理部门人员可根据需要随时查询和打印某一日期段的刷卡信息、可根据日、月、自定义时间段的统计打印刷卡统计表、可查询和打印任何日期段的所有通道门禁刷卡信息。</w:t>
      </w:r>
    </w:p>
    <w:p w14:paraId="790F7B7F">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针对医院每天人流量非常大的特点，在平台管理中，设立的多种形式的数据统计、查询和分析。保卫科通过数据分析，就能准确的判断出人员进出的高峰期、低峰期，以便医院针对不同时间段制定不同的应急措施，从而来保证医生、病人的人生安全。</w:t>
      </w:r>
    </w:p>
    <w:p w14:paraId="4C18D943">
      <w:pPr>
        <w:pStyle w:val="5"/>
        <w:spacing w:line="360" w:lineRule="auto"/>
        <w:ind w:firstLine="562"/>
        <w:rPr>
          <w:rFonts w:hAnsi="宋体"/>
          <w:b/>
          <w:color w:val="auto"/>
          <w:sz w:val="28"/>
          <w:szCs w:val="28"/>
        </w:rPr>
      </w:pPr>
      <w:r>
        <w:rPr>
          <w:rFonts w:hint="eastAsia" w:hAnsi="宋体"/>
          <w:b/>
          <w:color w:val="auto"/>
          <w:sz w:val="28"/>
          <w:szCs w:val="28"/>
        </w:rPr>
        <w:t>七、系统供配电管理设计说明</w:t>
      </w:r>
    </w:p>
    <w:p w14:paraId="21CB7B83">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1、系统供配电管理</w:t>
      </w:r>
    </w:p>
    <w:p w14:paraId="4159D609">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 xml:space="preserve">系统采用集中供电方式，系统设备电源由控制箱集中点电源取电，总进线采用220V电压、50Hz频率的配电方式，电源的质量符合国家标准，即电压波动小于±10%，频率波动标准小于±1%。门禁系统电源供电应、稳定并且减少对其他设备的干扰，应采用足够冗余的电源。 </w:t>
      </w:r>
      <w:r>
        <w:rPr>
          <w:rFonts w:hint="eastAsia" w:ascii="仿宋_GB2312" w:hAnsi="宋体" w:eastAsia="仿宋_GB2312"/>
          <w:b/>
          <w:color w:val="auto"/>
          <w:sz w:val="24"/>
        </w:rPr>
        <w:t>门锁需单独电源供电不能与门禁控制器共用同一个电源供电。</w:t>
      </w:r>
    </w:p>
    <w:p w14:paraId="5746F77F">
      <w:pPr>
        <w:pStyle w:val="5"/>
        <w:spacing w:line="360" w:lineRule="auto"/>
        <w:ind w:firstLine="562"/>
        <w:rPr>
          <w:rFonts w:ascii="仿宋_GB2312" w:hAnsi="宋体" w:eastAsia="仿宋_GB2312"/>
          <w:b/>
          <w:color w:val="auto"/>
          <w:sz w:val="24"/>
        </w:rPr>
      </w:pPr>
      <w:r>
        <w:rPr>
          <w:rFonts w:hint="eastAsia" w:hAnsi="宋体"/>
          <w:b/>
          <w:color w:val="auto"/>
          <w:sz w:val="28"/>
          <w:szCs w:val="28"/>
        </w:rPr>
        <w:t>八、响应文件应包含的内容</w:t>
      </w:r>
    </w:p>
    <w:p w14:paraId="3FEDF042">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1、响应文件中各项设备指标应达到或超过采购文件中所列技术指标。</w:t>
      </w:r>
    </w:p>
    <w:p w14:paraId="6D3344BE">
      <w:pPr>
        <w:pStyle w:val="5"/>
        <w:spacing w:line="360" w:lineRule="auto"/>
        <w:ind w:firstLine="0" w:firstLineChars="0"/>
        <w:rPr>
          <w:rFonts w:ascii="仿宋_GB2312" w:hAnsi="宋体" w:eastAsia="仿宋_GB2312"/>
          <w:color w:val="auto"/>
          <w:sz w:val="24"/>
        </w:rPr>
      </w:pPr>
      <w:r>
        <w:rPr>
          <w:rFonts w:hint="eastAsia" w:ascii="仿宋_GB2312" w:hAnsi="宋体" w:eastAsia="仿宋_GB2312"/>
          <w:color w:val="auto"/>
          <w:sz w:val="24"/>
        </w:rPr>
        <w:t>供应商在响应建议中明确可提供的技术指标。</w:t>
      </w:r>
    </w:p>
    <w:p w14:paraId="65D2D65F">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2、供应商的响应文件必须提供完整的运维服务计划。</w:t>
      </w:r>
    </w:p>
    <w:p w14:paraId="50449409">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3、本项目实施过程中，采购人不提供固定场所，成交供应商需自行解决工</w:t>
      </w:r>
    </w:p>
    <w:p w14:paraId="7E483F70">
      <w:pPr>
        <w:pStyle w:val="5"/>
        <w:spacing w:line="360" w:lineRule="auto"/>
        <w:ind w:firstLine="0" w:firstLineChars="0"/>
        <w:rPr>
          <w:rFonts w:ascii="仿宋_GB2312" w:hAnsi="宋体" w:eastAsia="仿宋_GB2312"/>
          <w:color w:val="auto"/>
          <w:sz w:val="24"/>
        </w:rPr>
      </w:pPr>
      <w:r>
        <w:rPr>
          <w:rFonts w:hint="eastAsia" w:ascii="仿宋_GB2312" w:hAnsi="宋体" w:eastAsia="仿宋_GB2312"/>
          <w:color w:val="auto"/>
          <w:sz w:val="24"/>
        </w:rPr>
        <w:t>具和材料的堆放场地。</w:t>
      </w:r>
    </w:p>
    <w:p w14:paraId="14551178">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4、供应商需承诺投标总价为含税价，且已包括整个售后服务期内涉及的所有技术资料、服务（包括运输）、第三方检测、等所有税费、人工及其它不可预见的费用，均由供应商承担。</w:t>
      </w:r>
    </w:p>
    <w:p w14:paraId="498E4872">
      <w:pPr>
        <w:pStyle w:val="5"/>
        <w:spacing w:line="360" w:lineRule="auto"/>
        <w:ind w:firstLine="480"/>
        <w:rPr>
          <w:rFonts w:ascii="仿宋_GB2312" w:hAnsi="宋体" w:eastAsia="仿宋_GB2312"/>
          <w:color w:val="auto"/>
          <w:sz w:val="24"/>
        </w:rPr>
      </w:pPr>
    </w:p>
    <w:p w14:paraId="15C786E2">
      <w:pPr>
        <w:pStyle w:val="4"/>
        <w:spacing w:line="360" w:lineRule="auto"/>
        <w:jc w:val="center"/>
        <w:rPr>
          <w:rFonts w:ascii="仿宋_GB2312" w:hAnsi="宋体" w:eastAsia="仿宋_GB2312"/>
          <w:color w:val="auto"/>
          <w:sz w:val="24"/>
        </w:rPr>
      </w:pPr>
      <w:r>
        <w:rPr>
          <w:rFonts w:hint="eastAsia" w:ascii="仿宋_GB2312" w:hAnsi="宋体" w:eastAsia="仿宋_GB2312" w:cs="宋体"/>
          <w:b/>
          <w:color w:val="auto"/>
          <w:sz w:val="30"/>
          <w:szCs w:val="30"/>
        </w:rPr>
        <w:t>第二章交付使用要求</w:t>
      </w:r>
    </w:p>
    <w:p w14:paraId="554CEF7B">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（一）设备的安装调试要求：</w:t>
      </w:r>
    </w:p>
    <w:p w14:paraId="0DD28ADE">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(1) 中标人负责合同上项目设备的安装调试，一切费用由中标人负责。</w:t>
      </w:r>
    </w:p>
    <w:p w14:paraId="5ACB8035">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(2) 中标人安装时必须对各安装场地内的其它设备、设施采取良好保护措施，如造成损坏，承担相应相关责任。</w:t>
      </w:r>
    </w:p>
    <w:p w14:paraId="6142A999">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(3) 如果合同设备运输和安装调试过程中因事故造成货物短缺、损坏，中标人应及时安排换货，以保证合同设备安装调试的成功完成。换货的相关费用由中标人承担。</w:t>
      </w:r>
    </w:p>
    <w:p w14:paraId="6360F17F">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（二）交付使用期：</w:t>
      </w:r>
    </w:p>
    <w:p w14:paraId="0BEE753A">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★合同签订后</w:t>
      </w:r>
      <w:r>
        <w:rPr>
          <w:rFonts w:hint="eastAsia" w:ascii="仿宋_GB2312" w:hAnsi="宋体" w:eastAsia="仿宋_GB2312"/>
          <w:color w:val="auto"/>
          <w:sz w:val="24"/>
          <w:lang w:val="en-US" w:eastAsia="zh-CN"/>
        </w:rPr>
        <w:t>30</w:t>
      </w:r>
      <w:r>
        <w:rPr>
          <w:rFonts w:hint="eastAsia" w:ascii="仿宋_GB2312" w:hAnsi="宋体" w:eastAsia="仿宋_GB2312"/>
          <w:color w:val="auto"/>
          <w:sz w:val="24"/>
        </w:rPr>
        <w:t>天内完成主要部分货物包装、送货；安装、调试、检测、验收等。若设备与投标文件有偏差时，不予验收，由此所发生的一切费用由中标方承担。验收招标文件中未尽事宜的按照国家有关电子仪器设备验收的相关规范执行。</w:t>
      </w:r>
    </w:p>
    <w:p w14:paraId="7534E3FC">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（三）交货地点：广州市黄埔区（南岗街道）丹水坑路123号 广州市第十二人民医院内。</w:t>
      </w:r>
    </w:p>
    <w:p w14:paraId="0FAD327A">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（四）交货要求：</w:t>
      </w:r>
    </w:p>
    <w:p w14:paraId="7E40324E">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1.交货时要提交的资料：原厂产品合格证、产品说明书、国家强制性产品认证（3C认证）证书或标签、完整的技术资料。</w:t>
      </w:r>
    </w:p>
    <w:p w14:paraId="454C7AC0">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2.所有设备需为性能可靠的全新设备，并按有关要求进行包装及装运。</w:t>
      </w:r>
    </w:p>
    <w:p w14:paraId="50BD37F5">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包装、运输及到货检验</w:t>
      </w:r>
    </w:p>
    <w:p w14:paraId="25D55B3F">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（一）设备必须由原厂包装，包装箱内应有下列随箱资料：产品合格证、产品使用说明书、随箱清单等。</w:t>
      </w:r>
    </w:p>
    <w:p w14:paraId="600AB9F1">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（二）中标供应商负责所有设备从出厂到安装现场的运输。</w:t>
      </w:r>
    </w:p>
    <w:p w14:paraId="6791161D">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（三）双方将依据有关规定，对到货的规格、数量等进行检验。中标供应商应对其全部产品、零件、配件、介质造册登记，并与装箱单对比，如有出入应立即书面记录，由中标供应商解决。</w:t>
      </w:r>
    </w:p>
    <w:p w14:paraId="53C68428">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五、验收要求</w:t>
      </w:r>
    </w:p>
    <w:p w14:paraId="7AA93926">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（一）要求对全部设备、产品、型号、规格、数量、外型、外观、包装及资料、文件（如装箱单、保修单、随箱介质等）的验收。</w:t>
      </w:r>
    </w:p>
    <w:p w14:paraId="42A3229D">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（二）中标供应商应负责在项目验收时将全部有关产品说明书、原厂家安装手册、技术文件、资料、及安装、验收报告等文档汇集成册交付设备使用单位。</w:t>
      </w:r>
    </w:p>
    <w:p w14:paraId="092124E0">
      <w:pPr>
        <w:pStyle w:val="5"/>
        <w:spacing w:line="360" w:lineRule="auto"/>
        <w:ind w:firstLine="480"/>
        <w:rPr>
          <w:rFonts w:ascii="仿宋_GB2312" w:hAnsi="宋体" w:eastAsia="仿宋_GB2312"/>
          <w:color w:val="auto"/>
          <w:sz w:val="24"/>
        </w:rPr>
      </w:pPr>
    </w:p>
    <w:p w14:paraId="191FBD3A">
      <w:pPr>
        <w:pStyle w:val="4"/>
        <w:spacing w:line="360" w:lineRule="auto"/>
        <w:jc w:val="center"/>
        <w:rPr>
          <w:rFonts w:ascii="仿宋_GB2312" w:hAnsi="宋体" w:eastAsia="仿宋_GB2312"/>
          <w:b/>
          <w:color w:val="auto"/>
          <w:sz w:val="30"/>
          <w:szCs w:val="30"/>
        </w:rPr>
      </w:pPr>
      <w:r>
        <w:rPr>
          <w:rFonts w:hint="eastAsia" w:ascii="仿宋_GB2312" w:hAnsi="宋体" w:eastAsia="仿宋_GB2312" w:cs="宋体"/>
          <w:b/>
          <w:color w:val="auto"/>
          <w:sz w:val="30"/>
          <w:szCs w:val="30"/>
        </w:rPr>
        <w:t>第三章售后服务及培训需求</w:t>
      </w:r>
    </w:p>
    <w:p w14:paraId="3491E0CA">
      <w:pPr>
        <w:ind w:firstLine="472" w:firstLineChars="196"/>
        <w:rPr>
          <w:rFonts w:ascii="仿宋_GB2312" w:eastAsia="仿宋_GB2312"/>
          <w:b/>
          <w:color w:val="auto"/>
          <w:sz w:val="24"/>
          <w:szCs w:val="24"/>
        </w:rPr>
      </w:pPr>
      <w:r>
        <w:rPr>
          <w:rFonts w:hint="eastAsia" w:ascii="仿宋_GB2312" w:eastAsia="仿宋_GB2312"/>
          <w:b/>
          <w:color w:val="auto"/>
          <w:sz w:val="24"/>
          <w:szCs w:val="24"/>
        </w:rPr>
        <w:t>一、售后服务</w:t>
      </w:r>
    </w:p>
    <w:p w14:paraId="2CD75215">
      <w:pPr>
        <w:spacing w:line="360" w:lineRule="auto"/>
        <w:ind w:firstLine="470" w:firstLineChars="196"/>
        <w:rPr>
          <w:rFonts w:ascii="仿宋_GB2312" w:hAnsi="宋体" w:eastAsia="仿宋_GB2312" w:cs="Times New Roman"/>
          <w:color w:val="auto"/>
          <w:sz w:val="24"/>
          <w:szCs w:val="24"/>
        </w:rPr>
      </w:pPr>
      <w:r>
        <w:rPr>
          <w:rFonts w:hint="eastAsia" w:ascii="仿宋_GB2312" w:hAnsi="宋体" w:eastAsia="仿宋_GB2312" w:cs="Times New Roman"/>
          <w:color w:val="auto"/>
          <w:sz w:val="24"/>
          <w:szCs w:val="24"/>
        </w:rPr>
        <w:t>（一）中标人应在广州市设有维修机构，处理所有维修服务，并配有专职的技术工程师。</w:t>
      </w:r>
    </w:p>
    <w:p w14:paraId="41831E22">
      <w:pPr>
        <w:spacing w:line="360" w:lineRule="auto"/>
        <w:ind w:firstLine="470" w:firstLineChars="196"/>
        <w:rPr>
          <w:rFonts w:ascii="仿宋_GB2312" w:hAnsi="宋体" w:eastAsia="仿宋_GB2312" w:cs="Times New Roman"/>
          <w:color w:val="auto"/>
          <w:sz w:val="24"/>
          <w:szCs w:val="24"/>
        </w:rPr>
      </w:pPr>
      <w:r>
        <w:rPr>
          <w:rFonts w:hint="eastAsia" w:ascii="仿宋_GB2312" w:hAnsi="宋体" w:eastAsia="仿宋_GB2312" w:cs="Times New Roman"/>
          <w:color w:val="auto"/>
          <w:sz w:val="24"/>
          <w:szCs w:val="24"/>
        </w:rPr>
        <w:t>（二）★免费质保期：验收合格后</w:t>
      </w:r>
      <w:r>
        <w:rPr>
          <w:rFonts w:ascii="仿宋_GB2312" w:hAnsi="宋体" w:eastAsia="仿宋_GB2312" w:cs="Times New Roman"/>
          <w:color w:val="auto"/>
          <w:sz w:val="24"/>
          <w:szCs w:val="24"/>
        </w:rPr>
        <w:t>1</w:t>
      </w:r>
      <w:r>
        <w:rPr>
          <w:rFonts w:hint="eastAsia" w:ascii="仿宋_GB2312" w:hAnsi="宋体" w:eastAsia="仿宋_GB2312" w:cs="Times New Roman"/>
          <w:color w:val="auto"/>
          <w:sz w:val="24"/>
          <w:szCs w:val="24"/>
        </w:rPr>
        <w:t>年免费质保，质保期内中标供应商需负责免费维修及更换配件。</w:t>
      </w:r>
    </w:p>
    <w:p w14:paraId="7D81047B">
      <w:pPr>
        <w:spacing w:line="360" w:lineRule="auto"/>
        <w:ind w:firstLine="470" w:firstLineChars="196"/>
        <w:rPr>
          <w:rFonts w:ascii="仿宋_GB2312" w:hAnsi="宋体" w:eastAsia="仿宋_GB2312" w:cs="Times New Roman"/>
          <w:color w:val="auto"/>
          <w:sz w:val="24"/>
          <w:szCs w:val="24"/>
        </w:rPr>
      </w:pPr>
      <w:r>
        <w:rPr>
          <w:rFonts w:hint="eastAsia" w:ascii="仿宋_GB2312" w:hAnsi="宋体" w:eastAsia="仿宋_GB2312" w:cs="Times New Roman"/>
          <w:color w:val="auto"/>
          <w:sz w:val="24"/>
          <w:szCs w:val="24"/>
        </w:rPr>
        <w:t>对提供的设备在质保期内实施每年四次的上门保养和软件维护、升级，不向使用方收取任何费用。免费质保期从验收合格之日起计算。质保期满后的服务要求：免费质保期满后，提供终身维护服务。</w:t>
      </w:r>
    </w:p>
    <w:p w14:paraId="6C5384EB">
      <w:pPr>
        <w:spacing w:line="360" w:lineRule="auto"/>
        <w:ind w:firstLine="470" w:firstLineChars="196"/>
        <w:rPr>
          <w:rFonts w:ascii="仿宋_GB2312" w:hAnsi="宋体" w:eastAsia="仿宋_GB2312" w:cs="Times New Roman"/>
          <w:color w:val="auto"/>
          <w:sz w:val="24"/>
          <w:szCs w:val="24"/>
        </w:rPr>
      </w:pPr>
      <w:r>
        <w:rPr>
          <w:rFonts w:hint="eastAsia" w:ascii="仿宋_GB2312" w:hAnsi="宋体" w:eastAsia="仿宋_GB2312" w:cs="Times New Roman"/>
          <w:color w:val="auto"/>
          <w:sz w:val="24"/>
          <w:szCs w:val="24"/>
        </w:rPr>
        <w:t>（三）设备故障报修的响应时间：要求中标人提供7×24小时的故障服务受理；对重大故障提供7×24小时的现场支援，重大故障的现场响应时间：一小时内赶到现场，二小时内恢复正常使用；对一般故障提供5×8小时（法定工作时间）的现场支援，一般故障的现场响应时间：（4小时内）到达现场并排除故障。如未在约定时间完成故障排除，导致严重后果的承担相应法律责任。</w:t>
      </w:r>
    </w:p>
    <w:p w14:paraId="4A9B83BD">
      <w:pPr>
        <w:spacing w:line="360" w:lineRule="auto"/>
        <w:ind w:firstLine="470" w:firstLineChars="196"/>
        <w:rPr>
          <w:rFonts w:ascii="仿宋_GB2312" w:hAnsi="宋体" w:eastAsia="仿宋_GB2312" w:cs="Times New Roman"/>
          <w:color w:val="auto"/>
          <w:sz w:val="24"/>
          <w:szCs w:val="24"/>
        </w:rPr>
      </w:pPr>
      <w:r>
        <w:rPr>
          <w:rFonts w:hint="eastAsia" w:ascii="仿宋_GB2312" w:hAnsi="宋体" w:eastAsia="仿宋_GB2312" w:cs="Times New Roman"/>
          <w:color w:val="auto"/>
          <w:sz w:val="24"/>
          <w:szCs w:val="24"/>
        </w:rPr>
        <w:t>（四）质保期内，所有设备维修服务均为上门服务，由此产生的费用均不再收取。</w:t>
      </w:r>
    </w:p>
    <w:p w14:paraId="077DB9C9">
      <w:pPr>
        <w:spacing w:line="360" w:lineRule="auto"/>
        <w:rPr>
          <w:rFonts w:ascii="仿宋_GB2312" w:hAnsi="宋体" w:eastAsia="仿宋_GB2312" w:cs="Times New Roman"/>
          <w:color w:val="auto"/>
          <w:sz w:val="24"/>
          <w:szCs w:val="24"/>
        </w:rPr>
      </w:pPr>
    </w:p>
    <w:p w14:paraId="287DEB4E">
      <w:pPr>
        <w:pStyle w:val="6"/>
        <w:ind w:firstLine="472" w:firstLineChars="196"/>
        <w:rPr>
          <w:rFonts w:ascii="仿宋_GB2312" w:eastAsia="仿宋_GB2312"/>
          <w:b/>
          <w:color w:val="auto"/>
          <w:sz w:val="24"/>
          <w:szCs w:val="24"/>
        </w:rPr>
      </w:pPr>
      <w:r>
        <w:rPr>
          <w:rFonts w:hint="eastAsia" w:ascii="仿宋_GB2312" w:eastAsia="仿宋_GB2312"/>
          <w:b/>
          <w:color w:val="auto"/>
          <w:sz w:val="24"/>
          <w:szCs w:val="24"/>
        </w:rPr>
        <w:t>二、培训需求及事项</w:t>
      </w:r>
    </w:p>
    <w:p w14:paraId="62623003">
      <w:pPr>
        <w:pStyle w:val="6"/>
        <w:ind w:firstLine="472" w:firstLineChars="196"/>
        <w:rPr>
          <w:rFonts w:ascii="仿宋_GB2312" w:eastAsia="仿宋_GB2312"/>
          <w:b/>
          <w:color w:val="auto"/>
          <w:sz w:val="24"/>
        </w:rPr>
      </w:pPr>
      <w:r>
        <w:rPr>
          <w:rFonts w:hint="eastAsia" w:ascii="仿宋_GB2312" w:eastAsia="仿宋_GB2312"/>
          <w:b/>
          <w:color w:val="auto"/>
          <w:sz w:val="24"/>
        </w:rPr>
        <w:t>培训要求</w:t>
      </w:r>
    </w:p>
    <w:p w14:paraId="4153AEC6">
      <w:pPr>
        <w:pStyle w:val="6"/>
        <w:ind w:firstLine="480"/>
        <w:rPr>
          <w:rFonts w:ascii="仿宋_GB2312" w:eastAsia="仿宋_GB2312"/>
          <w:color w:val="auto"/>
          <w:sz w:val="24"/>
        </w:rPr>
      </w:pPr>
      <w:r>
        <w:rPr>
          <w:rFonts w:hint="eastAsia" w:ascii="仿宋_GB2312" w:eastAsia="仿宋_GB2312"/>
          <w:color w:val="auto"/>
          <w:sz w:val="24"/>
        </w:rPr>
        <w:t>1、对采购人的技术人员进行系统的使用、维护和保养培训，所有培训以中文进行。该培训将教会学员在日常和紧急情况下如何操作系统。</w:t>
      </w:r>
    </w:p>
    <w:p w14:paraId="5EDE9528">
      <w:pPr>
        <w:pStyle w:val="6"/>
        <w:ind w:firstLine="480"/>
        <w:rPr>
          <w:rFonts w:ascii="仿宋_GB2312" w:eastAsia="仿宋_GB2312"/>
          <w:color w:val="auto"/>
          <w:sz w:val="24"/>
        </w:rPr>
      </w:pPr>
      <w:r>
        <w:rPr>
          <w:rFonts w:hint="eastAsia" w:ascii="仿宋_GB2312" w:eastAsia="仿宋_GB2312"/>
          <w:color w:val="auto"/>
          <w:sz w:val="24"/>
        </w:rPr>
        <w:t>2、在系统完工测试之前为采购人技术人员进行现场培训，该培训包括正常操作程序和怎样处理紧急情况。在培训工作开始前向采购人免费提供所有中文培训资料，包括中文操作、维修手册，要求受训人员能够了解系统及设备的基本结构、工作原理及操作程序，能进行实际操作和日常维护、排除一般故障。</w:t>
      </w:r>
    </w:p>
    <w:p w14:paraId="6AD4967B">
      <w:pPr>
        <w:pStyle w:val="6"/>
        <w:ind w:firstLine="472" w:firstLineChars="196"/>
        <w:rPr>
          <w:rFonts w:ascii="仿宋_GB2312" w:eastAsia="仿宋_GB2312"/>
          <w:b/>
          <w:color w:val="auto"/>
          <w:sz w:val="24"/>
        </w:rPr>
      </w:pPr>
      <w:r>
        <w:rPr>
          <w:rFonts w:hint="eastAsia" w:ascii="仿宋_GB2312" w:eastAsia="仿宋_GB2312"/>
          <w:b/>
          <w:color w:val="auto"/>
          <w:sz w:val="24"/>
        </w:rPr>
        <w:t>培训事项</w:t>
      </w:r>
    </w:p>
    <w:p w14:paraId="667F1516">
      <w:pPr>
        <w:pStyle w:val="6"/>
        <w:ind w:firstLine="480"/>
        <w:rPr>
          <w:rFonts w:ascii="仿宋_GB2312" w:eastAsia="仿宋_GB2312"/>
          <w:color w:val="auto"/>
          <w:sz w:val="24"/>
        </w:rPr>
      </w:pPr>
      <w:r>
        <w:rPr>
          <w:rFonts w:hint="eastAsia" w:ascii="仿宋_GB2312" w:eastAsia="仿宋_GB2312"/>
          <w:color w:val="auto"/>
          <w:sz w:val="24"/>
        </w:rPr>
        <w:t>1、培训目的</w:t>
      </w:r>
    </w:p>
    <w:p w14:paraId="318C0EB6">
      <w:pPr>
        <w:pStyle w:val="6"/>
        <w:ind w:firstLine="552" w:firstLineChars="230"/>
        <w:rPr>
          <w:rFonts w:ascii="仿宋_GB2312" w:eastAsia="仿宋_GB2312"/>
          <w:color w:val="auto"/>
          <w:sz w:val="24"/>
        </w:rPr>
      </w:pPr>
      <w:r>
        <w:rPr>
          <w:rFonts w:hint="eastAsia" w:ascii="仿宋_GB2312" w:eastAsia="仿宋_GB2312"/>
          <w:color w:val="auto"/>
          <w:sz w:val="24"/>
        </w:rPr>
        <w:t>对采购人的人员分为运行维护人员的培训、工程技术人员的培训和管理人员的培训。</w:t>
      </w:r>
    </w:p>
    <w:p w14:paraId="21F7CB76">
      <w:pPr>
        <w:pStyle w:val="6"/>
        <w:ind w:firstLine="480"/>
        <w:rPr>
          <w:rFonts w:ascii="仿宋_GB2312" w:eastAsia="仿宋_GB2312"/>
          <w:color w:val="auto"/>
          <w:sz w:val="24"/>
        </w:rPr>
      </w:pPr>
      <w:r>
        <w:rPr>
          <w:rFonts w:hint="eastAsia" w:ascii="仿宋_GB2312" w:eastAsia="仿宋_GB2312"/>
          <w:color w:val="auto"/>
          <w:sz w:val="24"/>
        </w:rPr>
        <w:t>2、培训课程</w:t>
      </w:r>
    </w:p>
    <w:p w14:paraId="0A81FF86">
      <w:pPr>
        <w:pStyle w:val="6"/>
        <w:ind w:firstLine="480"/>
        <w:rPr>
          <w:rFonts w:ascii="仿宋_GB2312" w:eastAsia="仿宋_GB2312"/>
          <w:color w:val="auto"/>
          <w:sz w:val="24"/>
        </w:rPr>
      </w:pPr>
      <w:r>
        <w:rPr>
          <w:rFonts w:hint="eastAsia" w:ascii="仿宋_GB2312" w:eastAsia="仿宋_GB2312"/>
          <w:color w:val="auto"/>
          <w:sz w:val="24"/>
        </w:rPr>
        <w:t>a.系统的基本工作原理</w:t>
      </w:r>
    </w:p>
    <w:p w14:paraId="06DAE0E3">
      <w:pPr>
        <w:pStyle w:val="6"/>
        <w:ind w:firstLine="480"/>
        <w:rPr>
          <w:rFonts w:ascii="仿宋_GB2312" w:eastAsia="仿宋_GB2312"/>
          <w:color w:val="auto"/>
          <w:sz w:val="24"/>
        </w:rPr>
      </w:pPr>
      <w:r>
        <w:rPr>
          <w:rFonts w:hint="eastAsia" w:ascii="仿宋_GB2312" w:eastAsia="仿宋_GB2312"/>
          <w:color w:val="auto"/>
          <w:sz w:val="24"/>
        </w:rPr>
        <w:t>b.系统的设备安装情况</w:t>
      </w:r>
    </w:p>
    <w:p w14:paraId="635A73BF">
      <w:pPr>
        <w:pStyle w:val="6"/>
        <w:ind w:firstLine="480"/>
        <w:rPr>
          <w:rFonts w:ascii="仿宋_GB2312" w:eastAsia="仿宋_GB2312"/>
          <w:color w:val="auto"/>
          <w:sz w:val="24"/>
        </w:rPr>
      </w:pPr>
      <w:r>
        <w:rPr>
          <w:rFonts w:hint="eastAsia" w:ascii="仿宋_GB2312" w:eastAsia="仿宋_GB2312"/>
          <w:color w:val="auto"/>
          <w:sz w:val="24"/>
        </w:rPr>
        <w:t>c.系统的操作和管理</w:t>
      </w:r>
    </w:p>
    <w:p w14:paraId="150F1DFA">
      <w:pPr>
        <w:pStyle w:val="6"/>
        <w:ind w:firstLine="480"/>
        <w:rPr>
          <w:rFonts w:ascii="仿宋_GB2312" w:eastAsia="仿宋_GB2312"/>
          <w:color w:val="auto"/>
          <w:sz w:val="24"/>
        </w:rPr>
      </w:pPr>
      <w:r>
        <w:rPr>
          <w:rFonts w:hint="eastAsia" w:ascii="仿宋_GB2312" w:eastAsia="仿宋_GB2312"/>
          <w:color w:val="auto"/>
          <w:sz w:val="24"/>
        </w:rPr>
        <w:t>d.设备实物</w:t>
      </w:r>
    </w:p>
    <w:p w14:paraId="50EC6B9D">
      <w:pPr>
        <w:pStyle w:val="6"/>
        <w:ind w:firstLine="480"/>
        <w:rPr>
          <w:rFonts w:ascii="仿宋_GB2312" w:eastAsia="仿宋_GB2312"/>
          <w:color w:val="auto"/>
          <w:sz w:val="24"/>
        </w:rPr>
      </w:pPr>
      <w:r>
        <w:rPr>
          <w:rFonts w:hint="eastAsia" w:ascii="仿宋_GB2312" w:eastAsia="仿宋_GB2312"/>
          <w:color w:val="auto"/>
          <w:sz w:val="24"/>
        </w:rPr>
        <w:t>e.系统图纸的查阅</w:t>
      </w:r>
    </w:p>
    <w:p w14:paraId="6134E452">
      <w:pPr>
        <w:pStyle w:val="6"/>
        <w:ind w:firstLine="480"/>
        <w:rPr>
          <w:rFonts w:ascii="仿宋_GB2312" w:eastAsia="仿宋_GB2312"/>
          <w:color w:val="auto"/>
          <w:sz w:val="24"/>
        </w:rPr>
      </w:pPr>
      <w:r>
        <w:rPr>
          <w:rFonts w:hint="eastAsia" w:ascii="仿宋_GB2312" w:eastAsia="仿宋_GB2312"/>
          <w:color w:val="auto"/>
          <w:sz w:val="24"/>
        </w:rPr>
        <w:t>f.系统的故障诊断</w:t>
      </w:r>
    </w:p>
    <w:p w14:paraId="6E36D077">
      <w:pPr>
        <w:pStyle w:val="6"/>
        <w:ind w:firstLine="480"/>
        <w:rPr>
          <w:rFonts w:ascii="仿宋_GB2312" w:eastAsia="仿宋_GB2312"/>
          <w:color w:val="auto"/>
          <w:sz w:val="24"/>
        </w:rPr>
      </w:pPr>
      <w:r>
        <w:rPr>
          <w:rFonts w:hint="eastAsia" w:ascii="仿宋_GB2312" w:eastAsia="仿宋_GB2312"/>
          <w:color w:val="auto"/>
          <w:sz w:val="24"/>
        </w:rPr>
        <w:t>3、当系统升级或者改造时，应进行免费系统升级及改造专门培训，具体时间由双方协调培训时间，不低于两天时间。</w:t>
      </w:r>
    </w:p>
    <w:p w14:paraId="266D667E">
      <w:pPr>
        <w:pStyle w:val="6"/>
        <w:ind w:firstLine="480"/>
        <w:rPr>
          <w:rFonts w:ascii="仿宋_GB2312" w:eastAsia="仿宋_GB2312"/>
          <w:color w:val="auto"/>
          <w:sz w:val="24"/>
          <w:szCs w:val="24"/>
        </w:rPr>
      </w:pPr>
      <w:r>
        <w:rPr>
          <w:rFonts w:hint="eastAsia" w:ascii="仿宋_GB2312" w:eastAsia="仿宋_GB2312"/>
          <w:color w:val="auto"/>
          <w:sz w:val="24"/>
          <w:szCs w:val="24"/>
        </w:rPr>
        <w:t>4、要求组织每年年度培训，包括对运行维护人员的培训、工程技术人员的培训和管理人员的培训，时间不低于两天时间。</w:t>
      </w:r>
    </w:p>
    <w:p w14:paraId="78A409C6">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457F9B"/>
    <w:rsid w:val="3AC76E85"/>
    <w:rsid w:val="42E52436"/>
    <w:rsid w:val="44457F9B"/>
    <w:rsid w:val="492D12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
    <w:name w:val="列出段落_0"/>
    <w:basedOn w:val="4"/>
    <w:qFormat/>
    <w:uiPriority w:val="0"/>
    <w:pPr>
      <w:ind w:firstLine="420" w:firstLineChars="200"/>
    </w:pPr>
  </w:style>
  <w:style w:type="paragraph" w:customStyle="1" w:styleId="6">
    <w:name w:val="--规划正文"/>
    <w:basedOn w:val="4"/>
    <w:qFormat/>
    <w:uiPriority w:val="0"/>
    <w:pPr>
      <w:spacing w:line="360" w:lineRule="auto"/>
      <w:ind w:firstLine="200" w:firstLineChars="200"/>
    </w:pPr>
    <w:rPr>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6760</Words>
  <Characters>7297</Characters>
  <Lines>0</Lines>
  <Paragraphs>0</Paragraphs>
  <TotalTime>1</TotalTime>
  <ScaleCrop>false</ScaleCrop>
  <LinksUpToDate>false</LinksUpToDate>
  <CharactersWithSpaces>7364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2025-10-17T06:14:00Z</dcterms:created>
  <dc:creator>月入两万卡路里</dc:creator>
  <cp:lastModifiedBy>周艳梅</cp:lastModifiedBy>
  <dcterms:modified xsi:type="dcterms:W3CDTF">2025-10-22T03:58:15Z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923D49D35FED4E039EB579628C94373D_11</vt:lpwstr>
  </property>
  <property fmtid="{D5CDD505-2E9C-101B-9397-08002B2CF9AE}" pid="4" name="KSOTemplateDocerSaveRecord">
    <vt:lpwstr>eyJoZGlkIjoiNjZjY2E3YzQ0NTQ3NzcyNjEyNjE5YTEwZmE2NWVjODciLCJ1c2VySWQiOiIzNjYzOTA5MzcifQ==</vt:lpwstr>
  </property>
</Properties>
</file>