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08F38">
      <w:pPr>
        <w:spacing w:line="360" w:lineRule="auto"/>
        <w:ind w:left="2800"/>
        <w:jc w:val="left"/>
        <w:rPr>
          <w:rFonts w:ascii="宋体" w:hAnsi="宋体"/>
          <w:b/>
          <w:sz w:val="28"/>
          <w:szCs w:val="28"/>
        </w:rPr>
      </w:pPr>
      <w:bookmarkStart w:id="12" w:name="_GoBack"/>
      <w:bookmarkEnd w:id="12"/>
      <w:r>
        <w:rPr>
          <w:rFonts w:hint="eastAsia" w:ascii="宋体" w:hAnsi="宋体"/>
          <w:b/>
          <w:sz w:val="28"/>
          <w:szCs w:val="28"/>
        </w:rPr>
        <w:t>采购项目内容（用户需求）</w:t>
      </w:r>
    </w:p>
    <w:p w14:paraId="0930BBEF">
      <w:pPr>
        <w:spacing w:line="360" w:lineRule="auto"/>
        <w:jc w:val="left"/>
        <w:rPr>
          <w:rFonts w:ascii="宋体" w:hAnsi="宋体"/>
          <w:b/>
          <w:bCs/>
          <w:szCs w:val="21"/>
        </w:rPr>
      </w:pPr>
      <w:r>
        <w:rPr>
          <w:rFonts w:hint="eastAsia" w:ascii="宋体" w:hAnsi="宋体"/>
          <w:b/>
          <w:bCs/>
          <w:szCs w:val="21"/>
        </w:rPr>
        <w:t>一、总体概述：</w:t>
      </w:r>
    </w:p>
    <w:p w14:paraId="06B36472">
      <w:pPr>
        <w:adjustRightInd w:val="0"/>
        <w:spacing w:line="360" w:lineRule="auto"/>
        <w:ind w:left="359" w:hanging="359" w:hangingChars="171"/>
        <w:rPr>
          <w:rFonts w:ascii="宋体" w:hAnsi="宋体"/>
          <w:szCs w:val="21"/>
        </w:rPr>
      </w:pPr>
      <w:r>
        <w:rPr>
          <w:rFonts w:hint="eastAsia" w:ascii="宋体" w:hAnsi="宋体"/>
          <w:szCs w:val="21"/>
        </w:rPr>
        <w:t>1．中标人承包及负责招标文件对中标人要求的一切事宜及责任。</w:t>
      </w:r>
    </w:p>
    <w:p w14:paraId="36241209">
      <w:pPr>
        <w:adjustRightInd w:val="0"/>
        <w:spacing w:line="360" w:lineRule="auto"/>
        <w:ind w:left="359" w:hanging="359" w:hangingChars="171"/>
        <w:rPr>
          <w:rFonts w:ascii="宋体" w:hAnsi="宋体"/>
          <w:szCs w:val="21"/>
        </w:rPr>
      </w:pPr>
      <w:r>
        <w:rPr>
          <w:rFonts w:hint="eastAsia" w:ascii="宋体" w:hAnsi="宋体"/>
          <w:szCs w:val="21"/>
        </w:rPr>
        <w:t>2.本招标文件在技术要求中指出的工艺、材料、设备，参照的商标、示例图或品牌仅作为说明并没有限制性，如出现了则默认添加“或相当于”字样，投标人可以在其提供的文件资料中选用替代标准，但这些替代标准要优于或相当于技术规格中要求的标准。若其标准在需求书中没有规定，投标人应说明所用的标准。如果实际使用的标准有不同，必须对用于替代的标准、规范与本招标文件选用标准、规范之间的明显差异点作出说明，并提交推荐标准或实施规范的中文版。</w:t>
      </w:r>
    </w:p>
    <w:p w14:paraId="779FD8C1">
      <w:pPr>
        <w:adjustRightInd w:val="0"/>
        <w:snapToGrid w:val="0"/>
        <w:spacing w:line="360" w:lineRule="auto"/>
        <w:ind w:left="316" w:hanging="316" w:hangingChars="150"/>
        <w:rPr>
          <w:rFonts w:ascii="宋体" w:hAnsi="宋体"/>
          <w:b/>
          <w:snapToGrid w:val="0"/>
          <w:kern w:val="0"/>
          <w:szCs w:val="21"/>
        </w:rPr>
      </w:pPr>
      <w:r>
        <w:rPr>
          <w:rFonts w:hint="eastAsia" w:ascii="宋体" w:hAnsi="宋体"/>
          <w:b/>
          <w:snapToGrid w:val="0"/>
          <w:kern w:val="0"/>
          <w:szCs w:val="21"/>
        </w:rPr>
        <w:t>3．</w:t>
      </w:r>
      <w:r>
        <w:rPr>
          <w:rFonts w:ascii="宋体" w:hAnsi="宋体"/>
          <w:b/>
          <w:snapToGrid w:val="0"/>
          <w:kern w:val="0"/>
          <w:szCs w:val="21"/>
        </w:rPr>
        <w:t>投标人报价低于最高限价60%的，必须在投标文件中说明报价理由。若评审委员会认为其报价理由不充分的，有权要求其在评标现场合理的时间内提供书面补充说明，必要时提交相关证明材料；投标人不能证明其报价合理性的，评标委员会将其作为无效投标处理。</w:t>
      </w:r>
    </w:p>
    <w:p w14:paraId="6C7CEDF1">
      <w:pPr>
        <w:adjustRightInd w:val="0"/>
        <w:spacing w:line="360" w:lineRule="auto"/>
        <w:ind w:left="316" w:hanging="316" w:hangingChars="150"/>
        <w:rPr>
          <w:rFonts w:ascii="宋体" w:hAnsi="宋体"/>
          <w:szCs w:val="21"/>
        </w:rPr>
      </w:pPr>
      <w:r>
        <w:rPr>
          <w:rFonts w:hint="eastAsia" w:ascii="宋体" w:hAnsi="宋体"/>
          <w:b/>
          <w:bCs/>
          <w:szCs w:val="21"/>
        </w:rPr>
        <w:t xml:space="preserve">4. </w:t>
      </w:r>
      <w:r>
        <w:rPr>
          <w:rFonts w:hint="eastAsia"/>
          <w:b/>
        </w:rPr>
        <w:t>带“★”号条款为实质性响应条款，不满足将导致响应无效。</w:t>
      </w:r>
    </w:p>
    <w:p w14:paraId="45F39DA9">
      <w:pPr>
        <w:spacing w:line="360" w:lineRule="auto"/>
        <w:jc w:val="left"/>
        <w:rPr>
          <w:rFonts w:ascii="宋体" w:hAnsi="宋体"/>
          <w:b/>
          <w:bCs/>
          <w:szCs w:val="21"/>
        </w:rPr>
      </w:pPr>
      <w:r>
        <w:rPr>
          <w:rFonts w:hint="eastAsia" w:ascii="宋体" w:hAnsi="宋体"/>
          <w:b/>
          <w:bCs/>
          <w:szCs w:val="21"/>
        </w:rPr>
        <w:t>二、项目内容：</w:t>
      </w:r>
    </w:p>
    <w:tbl>
      <w:tblPr>
        <w:tblStyle w:val="6"/>
        <w:tblW w:w="84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88"/>
        <w:gridCol w:w="779"/>
        <w:gridCol w:w="2798"/>
      </w:tblGrid>
      <w:tr w14:paraId="72392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4888" w:type="dxa"/>
            <w:vAlign w:val="center"/>
          </w:tcPr>
          <w:p w14:paraId="3305B8D9">
            <w:pPr>
              <w:jc w:val="center"/>
              <w:rPr>
                <w:rFonts w:ascii="宋体" w:hAnsi="宋体"/>
                <w:b/>
                <w:szCs w:val="21"/>
              </w:rPr>
            </w:pPr>
            <w:r>
              <w:rPr>
                <w:rFonts w:hint="eastAsia" w:ascii="宋体" w:hAnsi="宋体"/>
                <w:b/>
                <w:szCs w:val="21"/>
              </w:rPr>
              <w:t>项目内容</w:t>
            </w:r>
          </w:p>
        </w:tc>
        <w:tc>
          <w:tcPr>
            <w:tcW w:w="779" w:type="dxa"/>
            <w:vAlign w:val="center"/>
          </w:tcPr>
          <w:p w14:paraId="54E0603B">
            <w:pPr>
              <w:jc w:val="center"/>
              <w:rPr>
                <w:rFonts w:ascii="宋体" w:hAnsi="宋体"/>
                <w:b/>
                <w:szCs w:val="21"/>
              </w:rPr>
            </w:pPr>
            <w:r>
              <w:rPr>
                <w:rFonts w:hint="eastAsia" w:ascii="宋体" w:hAnsi="宋体"/>
                <w:b/>
                <w:szCs w:val="21"/>
              </w:rPr>
              <w:t>数量</w:t>
            </w:r>
          </w:p>
        </w:tc>
        <w:tc>
          <w:tcPr>
            <w:tcW w:w="2798" w:type="dxa"/>
            <w:vAlign w:val="center"/>
          </w:tcPr>
          <w:p w14:paraId="6744A7EF">
            <w:pPr>
              <w:jc w:val="center"/>
              <w:rPr>
                <w:rFonts w:ascii="宋体" w:hAnsi="宋体"/>
                <w:b/>
                <w:szCs w:val="21"/>
              </w:rPr>
            </w:pPr>
            <w:r>
              <w:rPr>
                <w:rFonts w:hint="eastAsia" w:ascii="宋体" w:hAnsi="宋体"/>
                <w:b/>
                <w:szCs w:val="21"/>
              </w:rPr>
              <w:t>最高限价</w:t>
            </w:r>
          </w:p>
        </w:tc>
      </w:tr>
      <w:tr w14:paraId="47CE7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888" w:type="dxa"/>
            <w:vAlign w:val="center"/>
          </w:tcPr>
          <w:p w14:paraId="0CC42172">
            <w:pPr>
              <w:jc w:val="center"/>
              <w:rPr>
                <w:rFonts w:ascii="宋体" w:hAnsi="宋体"/>
                <w:szCs w:val="21"/>
              </w:rPr>
            </w:pPr>
            <w:r>
              <w:rPr>
                <w:rFonts w:hint="eastAsia" w:ascii="宋体" w:hAnsi="宋体"/>
                <w:szCs w:val="21"/>
              </w:rPr>
              <w:t>广州市第十二人民医院异址新建项目二期工程</w:t>
            </w:r>
          </w:p>
          <w:p w14:paraId="031A36D4">
            <w:pPr>
              <w:jc w:val="center"/>
            </w:pPr>
            <w:r>
              <w:rPr>
                <w:rFonts w:hint="eastAsia" w:ascii="宋体" w:hAnsi="宋体"/>
                <w:szCs w:val="21"/>
              </w:rPr>
              <w:t>项目建议书</w:t>
            </w:r>
          </w:p>
        </w:tc>
        <w:tc>
          <w:tcPr>
            <w:tcW w:w="779" w:type="dxa"/>
            <w:vAlign w:val="center"/>
          </w:tcPr>
          <w:p w14:paraId="3897A70A">
            <w:pPr>
              <w:jc w:val="center"/>
              <w:rPr>
                <w:rFonts w:ascii="宋体" w:hAnsi="宋体"/>
                <w:szCs w:val="21"/>
              </w:rPr>
            </w:pPr>
            <w:r>
              <w:rPr>
                <w:rFonts w:hint="eastAsia" w:ascii="宋体" w:hAnsi="宋体"/>
                <w:szCs w:val="21"/>
              </w:rPr>
              <w:t>一项</w:t>
            </w:r>
          </w:p>
        </w:tc>
        <w:tc>
          <w:tcPr>
            <w:tcW w:w="2798" w:type="dxa"/>
            <w:vMerge w:val="restart"/>
            <w:vAlign w:val="center"/>
          </w:tcPr>
          <w:p w14:paraId="74423144">
            <w:pPr>
              <w:ind w:left="-2" w:leftChars="-1" w:firstLine="2" w:firstLineChars="1"/>
              <w:jc w:val="center"/>
              <w:rPr>
                <w:rFonts w:ascii="宋体" w:hAnsi="宋体"/>
                <w:szCs w:val="21"/>
              </w:rPr>
            </w:pPr>
            <w:r>
              <w:rPr>
                <w:rFonts w:hint="eastAsia" w:ascii="宋体" w:hAnsi="宋体"/>
                <w:szCs w:val="21"/>
              </w:rPr>
              <w:t>人民币78万元</w:t>
            </w:r>
          </w:p>
        </w:tc>
      </w:tr>
      <w:tr w14:paraId="3138B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888" w:type="dxa"/>
            <w:vAlign w:val="center"/>
          </w:tcPr>
          <w:p w14:paraId="50DE16BB">
            <w:pPr>
              <w:jc w:val="center"/>
              <w:rPr>
                <w:rFonts w:ascii="宋体" w:hAnsi="宋体"/>
                <w:szCs w:val="21"/>
              </w:rPr>
            </w:pPr>
            <w:r>
              <w:rPr>
                <w:rFonts w:hint="eastAsia" w:ascii="宋体" w:hAnsi="宋体"/>
                <w:szCs w:val="21"/>
              </w:rPr>
              <w:t>广州市第十二人民医院异址新建项目二期工程</w:t>
            </w:r>
          </w:p>
          <w:p w14:paraId="6E0C52D1">
            <w:pPr>
              <w:jc w:val="center"/>
              <w:rPr>
                <w:rFonts w:ascii="宋体" w:hAnsi="宋体"/>
              </w:rPr>
            </w:pPr>
            <w:r>
              <w:rPr>
                <w:rFonts w:hint="eastAsia" w:ascii="宋体" w:hAnsi="宋体"/>
              </w:rPr>
              <w:t>可行性研究报告</w:t>
            </w:r>
          </w:p>
        </w:tc>
        <w:tc>
          <w:tcPr>
            <w:tcW w:w="779" w:type="dxa"/>
            <w:vAlign w:val="center"/>
          </w:tcPr>
          <w:p w14:paraId="5FE8076D">
            <w:pPr>
              <w:jc w:val="center"/>
              <w:rPr>
                <w:rFonts w:ascii="宋体" w:hAnsi="宋体"/>
                <w:szCs w:val="21"/>
              </w:rPr>
            </w:pPr>
            <w:r>
              <w:rPr>
                <w:rFonts w:hint="eastAsia" w:ascii="宋体" w:hAnsi="宋体"/>
                <w:szCs w:val="21"/>
              </w:rPr>
              <w:t>一项</w:t>
            </w:r>
          </w:p>
        </w:tc>
        <w:tc>
          <w:tcPr>
            <w:tcW w:w="2798" w:type="dxa"/>
            <w:vMerge w:val="continue"/>
            <w:vAlign w:val="center"/>
          </w:tcPr>
          <w:p w14:paraId="7FFEC639">
            <w:pPr>
              <w:ind w:left="-2" w:leftChars="-1" w:firstLine="2" w:firstLineChars="1"/>
              <w:jc w:val="center"/>
              <w:rPr>
                <w:rFonts w:ascii="宋体" w:hAnsi="宋体"/>
                <w:szCs w:val="21"/>
              </w:rPr>
            </w:pPr>
          </w:p>
        </w:tc>
      </w:tr>
    </w:tbl>
    <w:p w14:paraId="2B517399">
      <w:pPr>
        <w:tabs>
          <w:tab w:val="left" w:pos="525"/>
          <w:tab w:val="left" w:pos="562"/>
        </w:tabs>
        <w:spacing w:before="156" w:beforeLines="50" w:line="360" w:lineRule="auto"/>
        <w:rPr>
          <w:rFonts w:ascii="宋体" w:hAnsi="宋体"/>
          <w:b/>
        </w:rPr>
      </w:pPr>
      <w:r>
        <w:rPr>
          <w:rFonts w:hint="eastAsia" w:ascii="宋体" w:hAnsi="宋体"/>
          <w:b/>
        </w:rPr>
        <w:t>三、项目说明：</w:t>
      </w:r>
    </w:p>
    <w:p w14:paraId="3A00CFC1">
      <w:pPr>
        <w:adjustRightInd w:val="0"/>
        <w:snapToGrid w:val="0"/>
        <w:spacing w:line="360" w:lineRule="auto"/>
        <w:ind w:firstLine="420" w:firstLineChars="200"/>
        <w:rPr>
          <w:rFonts w:ascii="宋体" w:hAnsi="宋体" w:cs="仿宋_GB2312"/>
        </w:rPr>
      </w:pPr>
      <w:r>
        <w:rPr>
          <w:rFonts w:hint="eastAsia" w:ascii="宋体" w:hAnsi="宋体" w:cs="仿宋_GB2312"/>
        </w:rPr>
        <w:t>广州市第十二人民医院易址新建项目位于黄埔区广深沿江高速以北、丹水坑路以西地块，总用地面积为103518㎡，分两期建设。一期总用地面积</w:t>
      </w:r>
      <w:r>
        <w:rPr>
          <w:rFonts w:ascii="宋体" w:hAnsi="宋体" w:cs="仿宋_GB2312"/>
        </w:rPr>
        <w:t>55144</w:t>
      </w:r>
      <w:r>
        <w:rPr>
          <w:rFonts w:hint="eastAsia" w:ascii="宋体" w:hAnsi="宋体" w:cs="仿宋_GB2312"/>
        </w:rPr>
        <w:t>㎡，二期总用地面积约</w:t>
      </w:r>
      <w:r>
        <w:rPr>
          <w:rFonts w:ascii="宋体" w:hAnsi="宋体" w:cs="仿宋_GB2312"/>
        </w:rPr>
        <w:t>48374</w:t>
      </w:r>
      <w:r>
        <w:rPr>
          <w:rFonts w:hint="eastAsia" w:ascii="宋体" w:hAnsi="宋体" w:cs="仿宋_GB2312"/>
        </w:rPr>
        <w:t xml:space="preserve">㎡。现一期工程已建成投入使用。 </w:t>
      </w:r>
    </w:p>
    <w:p w14:paraId="33FCD22C">
      <w:pPr>
        <w:adjustRightInd w:val="0"/>
        <w:snapToGrid w:val="0"/>
        <w:spacing w:line="360" w:lineRule="auto"/>
        <w:ind w:firstLine="420" w:firstLineChars="200"/>
        <w:rPr>
          <w:rFonts w:ascii="宋体" w:hAnsi="宋体" w:cs="仿宋_GB2312"/>
        </w:rPr>
      </w:pPr>
      <w:r>
        <w:rPr>
          <w:rFonts w:hint="eastAsia" w:ascii="宋体" w:hAnsi="宋体" w:cs="仿宋_GB2312"/>
        </w:rPr>
        <w:t>广州市第十二人民医院规划病床数</w:t>
      </w:r>
      <w:r>
        <w:rPr>
          <w:rFonts w:ascii="宋体" w:hAnsi="宋体" w:cs="仿宋_GB2312"/>
        </w:rPr>
        <w:t>800</w:t>
      </w:r>
      <w:r>
        <w:rPr>
          <w:rFonts w:hint="eastAsia" w:ascii="宋体" w:hAnsi="宋体" w:cs="仿宋_GB2312"/>
        </w:rPr>
        <w:t>床，一期已建设总建筑面积约</w:t>
      </w:r>
      <w:r>
        <w:rPr>
          <w:rFonts w:ascii="宋体" w:hAnsi="宋体" w:cs="仿宋_GB2312"/>
        </w:rPr>
        <w:t>123650</w:t>
      </w:r>
      <w:r>
        <w:rPr>
          <w:rFonts w:hint="eastAsia" w:ascii="宋体" w:hAnsi="宋体" w:cs="仿宋_GB2312"/>
        </w:rPr>
        <w:t>㎡，其中，地上建筑面积</w:t>
      </w:r>
      <w:r>
        <w:rPr>
          <w:rFonts w:ascii="宋体" w:hAnsi="宋体" w:cs="仿宋_GB2312"/>
        </w:rPr>
        <w:t>77990</w:t>
      </w:r>
      <w:r>
        <w:rPr>
          <w:rFonts w:hint="eastAsia" w:ascii="宋体" w:hAnsi="宋体" w:cs="仿宋_GB2312"/>
        </w:rPr>
        <w:t>㎡，地下建筑面积</w:t>
      </w:r>
      <w:r>
        <w:rPr>
          <w:rFonts w:ascii="宋体" w:hAnsi="宋体" w:cs="仿宋_GB2312"/>
        </w:rPr>
        <w:t>45660</w:t>
      </w:r>
      <w:r>
        <w:rPr>
          <w:rFonts w:hint="eastAsia" w:ascii="宋体" w:hAnsi="宋体" w:cs="仿宋_GB2312"/>
        </w:rPr>
        <w:t>㎡（含地下车库及部分综合医院功能用房）。一期的建设内容主要包括：门诊楼、医技楼、住院楼（600床）、综合楼、高压氧舱、后勤楼、门卫室、氧气储罐区、地下室以及道路广场、绿化、其他室外配套工程等。</w:t>
      </w:r>
    </w:p>
    <w:p w14:paraId="6A14741A">
      <w:pPr>
        <w:adjustRightInd w:val="0"/>
        <w:snapToGrid w:val="0"/>
        <w:spacing w:line="360" w:lineRule="auto"/>
        <w:ind w:firstLine="420" w:firstLineChars="200"/>
        <w:rPr>
          <w:rFonts w:ascii="宋体" w:hAnsi="宋体" w:cs="仿宋_GB2312"/>
        </w:rPr>
      </w:pPr>
      <w:r>
        <w:rPr>
          <w:rFonts w:hint="eastAsia" w:ascii="宋体" w:hAnsi="宋体" w:cs="仿宋_GB2312"/>
        </w:rPr>
        <w:t>二期工程拟按照广州市第十二人民医院发展规划，补齐医院作为综合医院的科研、住院等用房缺口，以及与职业病防治业务相关的业务用房。</w:t>
      </w:r>
    </w:p>
    <w:p w14:paraId="3F2E43EA">
      <w:pPr>
        <w:adjustRightInd w:val="0"/>
        <w:snapToGrid w:val="0"/>
        <w:spacing w:line="360" w:lineRule="auto"/>
        <w:ind w:firstLine="420" w:firstLineChars="200"/>
        <w:rPr>
          <w:rFonts w:ascii="宋体" w:hAnsi="宋体" w:cs="仿宋_GB2312"/>
        </w:rPr>
      </w:pPr>
      <w:r>
        <w:rPr>
          <w:rFonts w:hint="eastAsia" w:ascii="宋体" w:hAnsi="宋体" w:cs="仿宋_GB2312"/>
        </w:rPr>
        <w:t>目前二期工程前期立项工作正在积极推进中，因此，拟开展二期工程《项目建议书》和《可行性研究报告》编制服务采购项目招选项目编制单位，编制《广州市第十二人民医院异址新建项目二期工程项目建议书》和《广州市第十二人民医院异址新建项目二期工程可行性研究报告》，并配合采购人项目决策，以及项目的评审报批工作。</w:t>
      </w:r>
    </w:p>
    <w:p w14:paraId="3968DC13">
      <w:pPr>
        <w:tabs>
          <w:tab w:val="left" w:pos="525"/>
        </w:tabs>
        <w:spacing w:line="360" w:lineRule="auto"/>
        <w:rPr>
          <w:rFonts w:ascii="宋体" w:hAnsi="宋体"/>
          <w:b/>
        </w:rPr>
      </w:pPr>
      <w:r>
        <w:rPr>
          <w:rFonts w:hint="eastAsia" w:ascii="宋体" w:hAnsi="宋体"/>
          <w:b/>
        </w:rPr>
        <w:t>四、采购项目要求：</w:t>
      </w:r>
    </w:p>
    <w:p w14:paraId="4B90DB74">
      <w:pPr>
        <w:tabs>
          <w:tab w:val="left" w:pos="525"/>
          <w:tab w:val="left" w:pos="562"/>
        </w:tabs>
        <w:spacing w:line="360" w:lineRule="auto"/>
        <w:rPr>
          <w:rFonts w:ascii="宋体" w:hAnsi="宋体"/>
          <w:b/>
        </w:rPr>
      </w:pPr>
      <w:r>
        <w:rPr>
          <w:rFonts w:hint="eastAsia" w:ascii="宋体" w:hAnsi="宋体"/>
          <w:b/>
        </w:rPr>
        <w:t xml:space="preserve">1. </w:t>
      </w:r>
      <w:r>
        <w:rPr>
          <w:rFonts w:hint="eastAsia" w:ascii="宋体" w:hAnsi="宋体" w:cs="宋体"/>
          <w:b/>
        </w:rPr>
        <w:t>总则</w:t>
      </w:r>
    </w:p>
    <w:p w14:paraId="099E19D0">
      <w:pPr>
        <w:widowControl/>
        <w:numPr>
          <w:ilvl w:val="0"/>
          <w:numId w:val="1"/>
        </w:numPr>
        <w:adjustRightInd w:val="0"/>
        <w:snapToGrid w:val="0"/>
        <w:spacing w:line="360" w:lineRule="auto"/>
        <w:ind w:left="5" w:firstLine="415"/>
        <w:jc w:val="left"/>
        <w:rPr>
          <w:rFonts w:ascii="宋体" w:hAnsi="宋体" w:cs="宋体"/>
          <w:color w:val="000000"/>
        </w:rPr>
      </w:pPr>
      <w:r>
        <w:rPr>
          <w:rFonts w:hint="eastAsia" w:ascii="宋体" w:hAnsi="宋体" w:cs="宋体"/>
          <w:color w:val="000000"/>
        </w:rPr>
        <w:t>项目成果版权归</w:t>
      </w:r>
      <w:r>
        <w:rPr>
          <w:rFonts w:hint="eastAsia" w:ascii="宋体" w:hAnsi="宋体" w:cs="宋体"/>
          <w:bCs/>
          <w:color w:val="000000"/>
          <w:u w:val="single"/>
        </w:rPr>
        <w:t>（采购人）</w:t>
      </w:r>
      <w:r>
        <w:rPr>
          <w:rFonts w:hint="eastAsia" w:ascii="宋体" w:hAnsi="宋体" w:cs="宋体"/>
          <w:color w:val="000000"/>
        </w:rPr>
        <w:t>所有。</w:t>
      </w:r>
    </w:p>
    <w:p w14:paraId="14F07CA1">
      <w:pPr>
        <w:widowControl/>
        <w:numPr>
          <w:ilvl w:val="0"/>
          <w:numId w:val="1"/>
        </w:numPr>
        <w:adjustRightInd w:val="0"/>
        <w:snapToGrid w:val="0"/>
        <w:spacing w:line="360" w:lineRule="auto"/>
        <w:ind w:left="5" w:firstLine="415"/>
        <w:jc w:val="left"/>
        <w:rPr>
          <w:rFonts w:ascii="宋体" w:hAnsi="宋体" w:cs="宋体"/>
          <w:color w:val="000000"/>
        </w:rPr>
      </w:pPr>
      <w:r>
        <w:rPr>
          <w:rFonts w:hint="eastAsia" w:ascii="宋体" w:hAnsi="宋体" w:cs="宋体"/>
          <w:color w:val="000000"/>
        </w:rPr>
        <w:t>本项目中标人被视为承认本需求书所有条款，并按本任务书规定的条款完成相关工作。</w:t>
      </w:r>
    </w:p>
    <w:p w14:paraId="7196EE5A">
      <w:pPr>
        <w:widowControl/>
        <w:numPr>
          <w:ilvl w:val="0"/>
          <w:numId w:val="1"/>
        </w:numPr>
        <w:spacing w:line="360" w:lineRule="auto"/>
        <w:ind w:left="5" w:firstLine="415"/>
        <w:jc w:val="left"/>
        <w:rPr>
          <w:rFonts w:ascii="宋体" w:hAnsi="宋体" w:cs="宋体"/>
        </w:rPr>
      </w:pPr>
      <w:r>
        <w:rPr>
          <w:rFonts w:hint="eastAsia" w:ascii="宋体" w:hAnsi="宋体"/>
        </w:rPr>
        <w:t>本章所提供的相关资料仅供投标人在投标时参考，不作为编制投标书和项目建议书和可行性研究报告的依据，投标人应谨慎引用本章内容，投标人引用本章资料引起的一切后果均由投标人承担，与采购人无关。</w:t>
      </w:r>
    </w:p>
    <w:p w14:paraId="4E99BB4B">
      <w:pPr>
        <w:rPr>
          <w:rFonts w:ascii="宋体" w:hAnsi="宋体"/>
        </w:rPr>
      </w:pPr>
      <w:r>
        <w:rPr>
          <w:rFonts w:hint="eastAsia" w:ascii="宋体" w:hAnsi="宋体"/>
          <w:b/>
        </w:rPr>
        <w:t>2. 项目研究范围：</w:t>
      </w:r>
      <w:r>
        <w:rPr>
          <w:rFonts w:hint="eastAsia" w:ascii="宋体" w:hAnsi="宋体"/>
          <w:szCs w:val="21"/>
        </w:rPr>
        <w:t>广州市第十二人民医院异址新建项目二期工程项目建议书、可行性研究报告</w:t>
      </w:r>
      <w:r>
        <w:rPr>
          <w:rFonts w:hint="eastAsia" w:ascii="宋体" w:hAnsi="宋体"/>
        </w:rPr>
        <w:t>编制</w:t>
      </w:r>
      <w:bookmarkStart w:id="0" w:name="_Toc262637519"/>
      <w:bookmarkStart w:id="1" w:name="_Toc223455219"/>
      <w:bookmarkStart w:id="2" w:name="_Toc223702920"/>
      <w:bookmarkStart w:id="3" w:name="_Toc223703115"/>
      <w:bookmarkStart w:id="4" w:name="_Toc223460467"/>
      <w:bookmarkStart w:id="5" w:name="_Toc223939535"/>
      <w:bookmarkStart w:id="6" w:name="_Toc223682990"/>
      <w:bookmarkStart w:id="7" w:name="_Toc223802064"/>
      <w:bookmarkStart w:id="8" w:name="_Toc223703065"/>
      <w:bookmarkStart w:id="9" w:name="_Toc223507118"/>
      <w:bookmarkStart w:id="10" w:name="_Toc223949910"/>
      <w:bookmarkStart w:id="11" w:name="_Toc223682897"/>
    </w:p>
    <w:p w14:paraId="55CB9823">
      <w:pPr>
        <w:widowControl/>
        <w:spacing w:line="360" w:lineRule="auto"/>
        <w:ind w:left="5"/>
        <w:jc w:val="left"/>
        <w:rPr>
          <w:rFonts w:ascii="宋体" w:hAnsi="宋体" w:cs="宋体"/>
          <w:b/>
        </w:rPr>
      </w:pPr>
      <w:r>
        <w:rPr>
          <w:rFonts w:hint="eastAsia" w:ascii="宋体" w:hAnsi="宋体"/>
          <w:b/>
        </w:rPr>
        <w:t xml:space="preserve">3. </w:t>
      </w:r>
      <w:r>
        <w:rPr>
          <w:rFonts w:hint="eastAsia" w:ascii="宋体" w:hAnsi="宋体" w:cs="宋体"/>
          <w:b/>
        </w:rPr>
        <w:t>项目研究内容</w:t>
      </w:r>
      <w:bookmarkEnd w:id="0"/>
      <w:bookmarkEnd w:id="1"/>
      <w:bookmarkEnd w:id="2"/>
      <w:bookmarkEnd w:id="3"/>
      <w:bookmarkEnd w:id="4"/>
      <w:bookmarkEnd w:id="5"/>
      <w:bookmarkEnd w:id="6"/>
      <w:bookmarkEnd w:id="7"/>
      <w:bookmarkEnd w:id="8"/>
      <w:bookmarkEnd w:id="9"/>
      <w:bookmarkEnd w:id="10"/>
      <w:bookmarkEnd w:id="11"/>
      <w:r>
        <w:rPr>
          <w:rFonts w:hint="eastAsia" w:ascii="宋体" w:hAnsi="宋体" w:cs="宋体"/>
          <w:b/>
        </w:rPr>
        <w:t>及研究深度要求</w:t>
      </w:r>
    </w:p>
    <w:p w14:paraId="0E4131EF">
      <w:pPr>
        <w:adjustRightInd w:val="0"/>
        <w:snapToGrid w:val="0"/>
        <w:spacing w:line="360" w:lineRule="auto"/>
        <w:ind w:firstLine="420" w:firstLineChars="200"/>
        <w:rPr>
          <w:rFonts w:ascii="宋体" w:hAnsi="宋体" w:cs="宋体"/>
        </w:rPr>
      </w:pPr>
      <w:r>
        <w:rPr>
          <w:rFonts w:hint="eastAsia" w:ascii="宋体" w:hAnsi="宋体" w:cs="宋体"/>
        </w:rPr>
        <w:t>对二期工程项目进行研究，根据国家发改委、广东省发改委、广州市发改委有关政府投资项目项目建议书、可行性研究报告编制的文件精神和其他相关规范、标准，编制符合各级行政主管部门报批要求的《项目建议书》、《可行性研究报告》，并配合采购人开展报告的评审及报批工作。</w:t>
      </w:r>
    </w:p>
    <w:p w14:paraId="24A30665">
      <w:pPr>
        <w:adjustRightInd w:val="0"/>
        <w:snapToGrid w:val="0"/>
        <w:spacing w:line="360" w:lineRule="auto"/>
        <w:rPr>
          <w:rFonts w:ascii="宋体" w:hAnsi="宋体" w:cs="宋体"/>
          <w:b/>
        </w:rPr>
      </w:pPr>
      <w:r>
        <w:rPr>
          <w:rFonts w:hint="eastAsia" w:ascii="宋体" w:hAnsi="宋体"/>
          <w:b/>
        </w:rPr>
        <w:t>4. 成果要求</w:t>
      </w:r>
    </w:p>
    <w:p w14:paraId="1A6A6091">
      <w:pPr>
        <w:widowControl/>
        <w:numPr>
          <w:ilvl w:val="0"/>
          <w:numId w:val="2"/>
        </w:numPr>
        <w:spacing w:line="360" w:lineRule="auto"/>
        <w:ind w:hanging="5"/>
        <w:jc w:val="left"/>
        <w:rPr>
          <w:rFonts w:ascii="宋体" w:hAnsi="宋体" w:cs="宋体"/>
        </w:rPr>
      </w:pPr>
      <w:r>
        <w:rPr>
          <w:rFonts w:hint="eastAsia" w:ascii="宋体" w:hAnsi="宋体" w:cs="宋体"/>
        </w:rPr>
        <w:t>成果内容须符合制定的编制原则、编制范围等要点的规定。</w:t>
      </w:r>
    </w:p>
    <w:p w14:paraId="3ADBEC93">
      <w:pPr>
        <w:widowControl/>
        <w:numPr>
          <w:ilvl w:val="0"/>
          <w:numId w:val="2"/>
        </w:numPr>
        <w:spacing w:line="360" w:lineRule="auto"/>
        <w:ind w:hanging="5"/>
        <w:jc w:val="left"/>
        <w:rPr>
          <w:rFonts w:ascii="宋体" w:hAnsi="宋体" w:cs="宋体"/>
        </w:rPr>
      </w:pPr>
      <w:r>
        <w:rPr>
          <w:rFonts w:hint="eastAsia" w:ascii="宋体" w:hAnsi="宋体" w:cs="宋体"/>
        </w:rPr>
        <w:t>文本必须做到清晰、完整、表达准确，同类图纸规格应尽量统一。</w:t>
      </w:r>
    </w:p>
    <w:p w14:paraId="280F381E">
      <w:pPr>
        <w:widowControl/>
        <w:numPr>
          <w:ilvl w:val="0"/>
          <w:numId w:val="2"/>
        </w:numPr>
        <w:spacing w:line="360" w:lineRule="auto"/>
        <w:ind w:hanging="5"/>
        <w:jc w:val="left"/>
        <w:rPr>
          <w:rFonts w:ascii="宋体" w:hAnsi="宋体" w:cs="宋体"/>
        </w:rPr>
      </w:pPr>
      <w:r>
        <w:rPr>
          <w:rFonts w:hint="eastAsia" w:ascii="宋体" w:hAnsi="宋体" w:cs="宋体"/>
        </w:rPr>
        <w:t>成果包括文本文件及相应的计算机文件。</w:t>
      </w:r>
    </w:p>
    <w:p w14:paraId="7C67845D">
      <w:pPr>
        <w:widowControl/>
        <w:numPr>
          <w:ilvl w:val="0"/>
          <w:numId w:val="3"/>
        </w:numPr>
        <w:spacing w:line="360" w:lineRule="auto"/>
        <w:ind w:left="5" w:firstLine="415"/>
        <w:jc w:val="left"/>
        <w:rPr>
          <w:rFonts w:ascii="宋体" w:hAnsi="宋体" w:cs="宋体"/>
        </w:rPr>
      </w:pPr>
      <w:r>
        <w:rPr>
          <w:rFonts w:hint="eastAsia" w:ascii="宋体" w:hAnsi="宋体" w:cs="宋体"/>
        </w:rPr>
        <w:t>文本文件要求：文本文件包括报告文本、附表和附图，提供各阶段成果文件</w:t>
      </w:r>
      <w:r>
        <w:rPr>
          <w:rFonts w:ascii="宋体" w:hAnsi="宋体" w:cs="宋体"/>
          <w:u w:val="single"/>
        </w:rPr>
        <w:t xml:space="preserve"> 8 </w:t>
      </w:r>
      <w:r>
        <w:rPr>
          <w:rFonts w:hint="eastAsia" w:ascii="宋体" w:hAnsi="宋体" w:cs="宋体"/>
        </w:rPr>
        <w:t>套。</w:t>
      </w:r>
    </w:p>
    <w:p w14:paraId="1256A64C">
      <w:pPr>
        <w:widowControl/>
        <w:numPr>
          <w:ilvl w:val="0"/>
          <w:numId w:val="3"/>
        </w:numPr>
        <w:spacing w:line="360" w:lineRule="auto"/>
        <w:ind w:left="5" w:firstLine="415"/>
        <w:jc w:val="left"/>
        <w:rPr>
          <w:rFonts w:ascii="宋体" w:hAnsi="宋体" w:cs="宋体"/>
        </w:rPr>
      </w:pPr>
      <w:r>
        <w:rPr>
          <w:rFonts w:hint="eastAsia" w:ascii="宋体" w:hAnsi="宋体" w:cs="宋体"/>
        </w:rPr>
        <w:t>计算机文件要求：全部成果均制作计算机文件，提供以上计算机文件光盘</w:t>
      </w:r>
      <w:r>
        <w:rPr>
          <w:rFonts w:ascii="宋体" w:hAnsi="宋体" w:cs="宋体"/>
        </w:rPr>
        <w:t xml:space="preserve"> 1 </w:t>
      </w:r>
      <w:r>
        <w:rPr>
          <w:rFonts w:hint="eastAsia" w:ascii="宋体" w:hAnsi="宋体" w:cs="宋体"/>
        </w:rPr>
        <w:t>套。</w:t>
      </w:r>
    </w:p>
    <w:p w14:paraId="0328E3BA">
      <w:pPr>
        <w:widowControl/>
        <w:numPr>
          <w:ilvl w:val="0"/>
          <w:numId w:val="2"/>
        </w:numPr>
        <w:spacing w:line="360" w:lineRule="auto"/>
        <w:ind w:hanging="5"/>
        <w:jc w:val="left"/>
        <w:rPr>
          <w:rFonts w:ascii="宋体" w:hAnsi="宋体" w:cs="宋体"/>
        </w:rPr>
      </w:pPr>
      <w:r>
        <w:rPr>
          <w:rFonts w:hint="eastAsia" w:ascii="宋体" w:hAnsi="宋体" w:cs="宋体"/>
        </w:rPr>
        <w:t>研究成果必须符合任务书中的研究目的、主要内容等规定。</w:t>
      </w:r>
    </w:p>
    <w:p w14:paraId="5EB94B5D">
      <w:pPr>
        <w:widowControl/>
        <w:numPr>
          <w:ilvl w:val="0"/>
          <w:numId w:val="2"/>
        </w:numPr>
        <w:spacing w:line="360" w:lineRule="auto"/>
        <w:ind w:left="5" w:firstLine="415"/>
        <w:jc w:val="left"/>
        <w:rPr>
          <w:rFonts w:ascii="宋体" w:hAnsi="宋体" w:cs="宋体"/>
        </w:rPr>
      </w:pPr>
      <w:r>
        <w:rPr>
          <w:rFonts w:hint="eastAsia" w:ascii="宋体" w:hAnsi="宋体" w:cs="宋体"/>
        </w:rPr>
        <w:t>中标人必须按规定的时限提供项目资料；根据相关规定编制《项目建议书》和《可行性研究报告》。</w:t>
      </w:r>
    </w:p>
    <w:p w14:paraId="49C561FC">
      <w:pPr>
        <w:adjustRightInd w:val="0"/>
        <w:snapToGrid w:val="0"/>
        <w:spacing w:line="360" w:lineRule="auto"/>
        <w:rPr>
          <w:rFonts w:ascii="宋体" w:hAnsi="宋体" w:cs="宋体"/>
          <w:b/>
        </w:rPr>
      </w:pPr>
      <w:r>
        <w:rPr>
          <w:rFonts w:hint="eastAsia" w:ascii="宋体" w:hAnsi="宋体"/>
          <w:b/>
        </w:rPr>
        <w:t>5. 成果报送、审查与审定</w:t>
      </w:r>
    </w:p>
    <w:p w14:paraId="2D9E9886">
      <w:pPr>
        <w:adjustRightInd w:val="0"/>
        <w:snapToGrid w:val="0"/>
        <w:spacing w:line="360" w:lineRule="auto"/>
        <w:ind w:firstLine="420" w:firstLineChars="200"/>
        <w:rPr>
          <w:rFonts w:ascii="宋体" w:hAnsi="宋体" w:cs="宋体"/>
        </w:rPr>
      </w:pPr>
      <w:r>
        <w:rPr>
          <w:rFonts w:hint="eastAsia" w:ascii="宋体" w:hAnsi="宋体" w:cs="宋体"/>
        </w:rPr>
        <w:t>成果文件必须在指定的阶段成果文件提交时间之前送达广州市指定地点，采购人清点成果文件后签发登记。成果文件通过采购人审查后，才能进入下一阶段的工作。最终成果完成后，根据各相关单位反馈意见及采购人审查结果对研究报告进行最终的修改完善，形成报批报告。</w:t>
      </w:r>
    </w:p>
    <w:p w14:paraId="31F9D030">
      <w:pPr>
        <w:widowControl/>
        <w:numPr>
          <w:ilvl w:val="0"/>
          <w:numId w:val="4"/>
        </w:numPr>
        <w:tabs>
          <w:tab w:val="left" w:pos="720"/>
        </w:tabs>
        <w:adjustRightInd w:val="0"/>
        <w:snapToGrid w:val="0"/>
        <w:spacing w:line="360" w:lineRule="auto"/>
        <w:ind w:left="5" w:firstLine="415"/>
        <w:jc w:val="left"/>
        <w:rPr>
          <w:rFonts w:ascii="宋体" w:hAnsi="宋体" w:cs="宋体"/>
        </w:rPr>
      </w:pPr>
      <w:r>
        <w:rPr>
          <w:rFonts w:hint="eastAsia" w:ascii="宋体" w:hAnsi="宋体" w:cs="宋体"/>
        </w:rPr>
        <w:t>中标人按本招标文件的约定向采购人递交的工作成果及建议，采购人有权进行审核并决定是否采纳，中标人对此不得提出任何异议。</w:t>
      </w:r>
    </w:p>
    <w:p w14:paraId="041A6C35">
      <w:pPr>
        <w:widowControl/>
        <w:numPr>
          <w:ilvl w:val="0"/>
          <w:numId w:val="4"/>
        </w:numPr>
        <w:tabs>
          <w:tab w:val="left" w:pos="720"/>
        </w:tabs>
        <w:adjustRightInd w:val="0"/>
        <w:snapToGrid w:val="0"/>
        <w:spacing w:line="360" w:lineRule="auto"/>
        <w:ind w:left="5" w:firstLine="415"/>
        <w:jc w:val="left"/>
        <w:rPr>
          <w:rFonts w:ascii="宋体" w:hAnsi="宋体" w:cs="宋体"/>
        </w:rPr>
      </w:pPr>
      <w:r>
        <w:rPr>
          <w:rFonts w:hint="eastAsia" w:ascii="宋体" w:hAnsi="宋体" w:cs="宋体"/>
        </w:rPr>
        <w:t>在中标人提供服务的过程中，如果因中标人责任造成采购人经济损失的，采购人有权对中标人进行处罚，直至单方面解除合同，采购人有权对中标人追究因此造成的损失赔偿。</w:t>
      </w:r>
    </w:p>
    <w:p w14:paraId="4F4BDAFA">
      <w:pPr>
        <w:widowControl/>
        <w:numPr>
          <w:ilvl w:val="0"/>
          <w:numId w:val="4"/>
        </w:numPr>
        <w:tabs>
          <w:tab w:val="left" w:pos="720"/>
        </w:tabs>
        <w:adjustRightInd w:val="0"/>
        <w:snapToGrid w:val="0"/>
        <w:spacing w:line="360" w:lineRule="auto"/>
        <w:ind w:left="5" w:firstLine="415"/>
        <w:jc w:val="left"/>
        <w:rPr>
          <w:rFonts w:ascii="宋体" w:hAnsi="宋体" w:cs="宋体"/>
        </w:rPr>
      </w:pPr>
      <w:r>
        <w:rPr>
          <w:rFonts w:hint="eastAsia"/>
        </w:rPr>
        <w:t>采购人在认为有必要时，有权将中标人递交的工作成果及建议递交给第三方评审，中标人不得干预。</w:t>
      </w:r>
    </w:p>
    <w:p w14:paraId="215BDD13">
      <w:pPr>
        <w:widowControl/>
        <w:tabs>
          <w:tab w:val="left" w:pos="720"/>
        </w:tabs>
        <w:adjustRightInd w:val="0"/>
        <w:snapToGrid w:val="0"/>
        <w:spacing w:line="360" w:lineRule="auto"/>
        <w:ind w:left="5"/>
        <w:jc w:val="left"/>
        <w:rPr>
          <w:rFonts w:ascii="宋体" w:hAnsi="宋体" w:cs="宋体"/>
          <w:b/>
        </w:rPr>
      </w:pPr>
      <w:r>
        <w:rPr>
          <w:rFonts w:hint="eastAsia" w:ascii="宋体" w:hAnsi="宋体"/>
          <w:b/>
        </w:rPr>
        <w:t>6. 工作组织安排</w:t>
      </w:r>
    </w:p>
    <w:p w14:paraId="5A5B9B91">
      <w:pPr>
        <w:adjustRightInd w:val="0"/>
        <w:snapToGrid w:val="0"/>
        <w:spacing w:line="360" w:lineRule="auto"/>
        <w:ind w:left="1" w:firstLine="315" w:firstLineChars="150"/>
      </w:pPr>
      <w:r>
        <w:rPr>
          <w:rFonts w:hint="eastAsia"/>
        </w:rPr>
        <w:t>根据研究的内容和要求，要求竞标人提供详细的日程计划安排和项目组织结构，且计划要有一定的操作弹性。</w:t>
      </w:r>
    </w:p>
    <w:p w14:paraId="28BDAFCD">
      <w:pPr>
        <w:adjustRightInd w:val="0"/>
        <w:snapToGrid w:val="0"/>
        <w:spacing w:line="360" w:lineRule="auto"/>
        <w:rPr>
          <w:rFonts w:ascii="宋体" w:hAnsi="宋体" w:cs="宋体"/>
          <w:b/>
        </w:rPr>
      </w:pPr>
      <w:r>
        <w:rPr>
          <w:rFonts w:hint="eastAsia" w:ascii="宋体" w:hAnsi="宋体"/>
          <w:b/>
        </w:rPr>
        <w:t>7. 附则</w:t>
      </w:r>
    </w:p>
    <w:p w14:paraId="45B19186">
      <w:pPr>
        <w:adjustRightInd w:val="0"/>
        <w:snapToGrid w:val="0"/>
        <w:spacing w:line="360" w:lineRule="auto"/>
        <w:ind w:left="1" w:firstLine="315" w:firstLineChars="150"/>
        <w:rPr>
          <w:rFonts w:ascii="宋体" w:hAnsi="宋体" w:cs="宋体"/>
        </w:rPr>
      </w:pPr>
      <w:r>
        <w:rPr>
          <w:rFonts w:hint="eastAsia" w:ascii="宋体" w:hAnsi="宋体" w:cs="宋体"/>
        </w:rPr>
        <w:t>成果文件有下列情况之一者无效：提交的成果文件不符合本任务书规定的成果内容和格式；未经组织单位同意而逾期送达；有关经济技术指标严重不实；图纸和文字辨认不清、内容不全、粗制滥造；未盖有承接单位公章。</w:t>
      </w:r>
    </w:p>
    <w:p w14:paraId="5C6A49E2">
      <w:pPr>
        <w:tabs>
          <w:tab w:val="left" w:pos="525"/>
          <w:tab w:val="left" w:pos="562"/>
        </w:tabs>
        <w:spacing w:line="360" w:lineRule="auto"/>
        <w:rPr>
          <w:rFonts w:ascii="宋体" w:hAnsi="宋体"/>
          <w:b/>
        </w:rPr>
      </w:pPr>
      <w:r>
        <w:rPr>
          <w:rFonts w:hint="eastAsia" w:ascii="宋体" w:hAnsi="宋体"/>
          <w:b/>
        </w:rPr>
        <w:t>五、人员要求</w:t>
      </w:r>
    </w:p>
    <w:p w14:paraId="3085A9B2">
      <w:pPr>
        <w:widowControl/>
        <w:tabs>
          <w:tab w:val="left" w:pos="720"/>
        </w:tabs>
        <w:spacing w:line="360" w:lineRule="auto"/>
        <w:ind w:left="307" w:hanging="306" w:hangingChars="146"/>
        <w:jc w:val="left"/>
        <w:rPr>
          <w:rFonts w:ascii="宋体" w:hAnsi="宋体" w:cs="宋体"/>
          <w:color w:val="FF0000"/>
        </w:rPr>
      </w:pPr>
      <w:r>
        <w:rPr>
          <w:rFonts w:ascii="宋体" w:hAnsi="宋体" w:cs="宋体"/>
          <w:color w:val="000000"/>
        </w:rPr>
        <w:t>1.</w:t>
      </w:r>
      <w:r>
        <w:rPr>
          <w:rFonts w:hint="eastAsia" w:ascii="宋体" w:hAnsi="宋体" w:cs="宋体"/>
          <w:color w:val="000000"/>
        </w:rPr>
        <w:t xml:space="preserve"> 投标人必须保持服务队伍的相对稳定，必须按投标文件承诺投入相应资历</w:t>
      </w:r>
      <w:r>
        <w:rPr>
          <w:rFonts w:hint="eastAsia" w:ascii="宋体" w:hAnsi="宋体" w:cs="宋体"/>
        </w:rPr>
        <w:t>和数量的服务人员，否则，采购人有权作出相应处罚，直至单方面终止服务合同。</w:t>
      </w:r>
    </w:p>
    <w:p w14:paraId="30C7A883">
      <w:pPr>
        <w:widowControl/>
        <w:tabs>
          <w:tab w:val="left" w:pos="720"/>
        </w:tabs>
        <w:spacing w:line="360" w:lineRule="auto"/>
        <w:ind w:left="307" w:hanging="306" w:hangingChars="146"/>
        <w:jc w:val="left"/>
        <w:rPr>
          <w:rFonts w:ascii="宋体" w:hAnsi="宋体" w:cs="宋体"/>
        </w:rPr>
      </w:pPr>
      <w:r>
        <w:rPr>
          <w:rFonts w:ascii="宋体" w:hAnsi="宋体" w:cs="宋体"/>
        </w:rPr>
        <w:t>2.</w:t>
      </w:r>
      <w:r>
        <w:rPr>
          <w:rFonts w:hint="eastAsia" w:ascii="宋体" w:hAnsi="宋体" w:cs="宋体"/>
        </w:rPr>
        <w:t xml:space="preserve"> 投标人承诺的人员不得随意更换，如遇特殊情况投标人需更换以上人员，投标人应向采购人书面提出申请，且更换人员不得低于原相应岗位的资历条件，未经采购人的同意不得擅自更换。</w:t>
      </w:r>
    </w:p>
    <w:p w14:paraId="26A4D3B8">
      <w:pPr>
        <w:widowControl/>
        <w:tabs>
          <w:tab w:val="left" w:pos="720"/>
        </w:tabs>
        <w:spacing w:line="360" w:lineRule="auto"/>
        <w:ind w:left="307" w:hanging="306" w:hangingChars="146"/>
        <w:jc w:val="left"/>
        <w:rPr>
          <w:rFonts w:ascii="宋体" w:hAnsi="宋体" w:cs="宋体"/>
        </w:rPr>
      </w:pPr>
      <w:r>
        <w:rPr>
          <w:rFonts w:ascii="宋体" w:hAnsi="宋体" w:cs="宋体"/>
        </w:rPr>
        <w:t>3.</w:t>
      </w:r>
      <w:r>
        <w:rPr>
          <w:rFonts w:hint="eastAsia" w:ascii="宋体" w:hAnsi="宋体" w:cs="宋体"/>
        </w:rPr>
        <w:t xml:space="preserve"> 投标人对投入本项目的服务人员须为本单位正式人员，如聘用的须按有关规定与其签订劳动合同和购买社保、医保和工伤保险等。</w:t>
      </w:r>
    </w:p>
    <w:p w14:paraId="4EED2737">
      <w:pPr>
        <w:widowControl/>
        <w:tabs>
          <w:tab w:val="left" w:pos="720"/>
        </w:tabs>
        <w:spacing w:line="360" w:lineRule="auto"/>
        <w:ind w:left="307" w:hanging="306" w:hangingChars="146"/>
        <w:jc w:val="left"/>
        <w:rPr>
          <w:rFonts w:ascii="宋体" w:hAnsi="宋体" w:cs="宋体"/>
        </w:rPr>
      </w:pPr>
      <w:r>
        <w:rPr>
          <w:rFonts w:ascii="宋体" w:hAnsi="宋体" w:cs="宋体"/>
        </w:rPr>
        <w:t>4.</w:t>
      </w:r>
      <w:r>
        <w:rPr>
          <w:rFonts w:hint="eastAsia" w:ascii="宋体" w:hAnsi="宋体" w:cs="宋体"/>
        </w:rPr>
        <w:t xml:space="preserve"> 如采购人认为投标人投入的工作人员数量、业务水平、专业配置等不能满足本项目实际工作需要时，有权要求投标人及时调配或增加符合资格要求的人员，所增加人员的工资、奖金、补贴、加班费、办公费、差旅费、管理费等所有费用已包括在投标报价中。</w:t>
      </w:r>
    </w:p>
    <w:p w14:paraId="60B363CD">
      <w:pPr>
        <w:widowControl/>
        <w:tabs>
          <w:tab w:val="left" w:pos="720"/>
        </w:tabs>
        <w:spacing w:line="360" w:lineRule="auto"/>
        <w:ind w:left="307" w:hanging="306" w:hangingChars="146"/>
        <w:jc w:val="left"/>
        <w:rPr>
          <w:rFonts w:ascii="宋体" w:hAnsi="宋体" w:cs="宋体"/>
        </w:rPr>
      </w:pPr>
      <w:r>
        <w:rPr>
          <w:rFonts w:ascii="宋体" w:hAnsi="宋体" w:cs="宋体"/>
        </w:rPr>
        <w:t>5.</w:t>
      </w:r>
      <w:r>
        <w:rPr>
          <w:rFonts w:hint="eastAsia" w:ascii="宋体" w:hAnsi="宋体" w:cs="宋体"/>
        </w:rPr>
        <w:t xml:space="preserve"> 为了保证咨询工作质量，采购人有权对服务工作人员进行考核（包括面试、设置试用期等），如采购人认为其不称职时，投标人应当在收到采购人的书面通知后</w:t>
      </w:r>
      <w:r>
        <w:rPr>
          <w:rFonts w:ascii="宋体" w:hAnsi="宋体" w:cs="宋体"/>
        </w:rPr>
        <w:t>5</w:t>
      </w:r>
      <w:r>
        <w:rPr>
          <w:rFonts w:hint="eastAsia" w:ascii="宋体" w:hAnsi="宋体" w:cs="宋体"/>
        </w:rPr>
        <w:t>天内更换，更换人员的资历不得低于本招标文件对该岗位人员资历的要求，且所更换人员须经过采购人的同意。若投标人对采购人要求更换人员有异议时，可申请复议一次，经复议后采购人仍然要求更换的，则投标人应无条件进行更换，至采购人满意为止。</w:t>
      </w:r>
    </w:p>
    <w:p w14:paraId="62D32996">
      <w:pPr>
        <w:widowControl/>
        <w:tabs>
          <w:tab w:val="left" w:pos="720"/>
        </w:tabs>
        <w:spacing w:line="360" w:lineRule="auto"/>
        <w:ind w:left="307" w:hanging="306" w:hangingChars="146"/>
        <w:jc w:val="left"/>
        <w:rPr>
          <w:rFonts w:ascii="宋体" w:hAnsi="宋体" w:cs="宋体"/>
        </w:rPr>
      </w:pPr>
      <w:r>
        <w:rPr>
          <w:rFonts w:ascii="宋体" w:hAnsi="宋体" w:cs="宋体"/>
        </w:rPr>
        <w:t>6.</w:t>
      </w:r>
      <w:r>
        <w:rPr>
          <w:rFonts w:hint="eastAsia" w:ascii="宋体" w:hAnsi="宋体" w:cs="宋体"/>
        </w:rPr>
        <w:t xml:space="preserve"> 因采购人要求，承担本项目的服务人员如需要加班工作时，服务人员应无条件服从，不得消极怠工，其加班费已包括在服务费中，采购人不另行增加任何费用。</w:t>
      </w:r>
    </w:p>
    <w:p w14:paraId="7FF6F1AF">
      <w:pPr>
        <w:tabs>
          <w:tab w:val="left" w:pos="525"/>
          <w:tab w:val="left" w:pos="562"/>
        </w:tabs>
        <w:spacing w:line="360" w:lineRule="auto"/>
        <w:rPr>
          <w:rFonts w:ascii="宋体" w:hAnsi="宋体"/>
          <w:b/>
        </w:rPr>
      </w:pPr>
      <w:r>
        <w:rPr>
          <w:rFonts w:hint="eastAsia" w:ascii="宋体" w:hAnsi="宋体"/>
          <w:b/>
        </w:rPr>
        <w:t>六、付款方式</w:t>
      </w:r>
    </w:p>
    <w:p w14:paraId="3AF47728">
      <w:pPr>
        <w:widowControl/>
        <w:tabs>
          <w:tab w:val="left" w:pos="720"/>
        </w:tabs>
        <w:spacing w:line="360" w:lineRule="auto"/>
        <w:jc w:val="left"/>
        <w:rPr>
          <w:rFonts w:ascii="宋体" w:hAnsi="宋体" w:cs="宋体"/>
          <w:color w:val="000000"/>
        </w:rPr>
      </w:pPr>
      <w:r>
        <w:rPr>
          <w:rFonts w:hint="eastAsia" w:ascii="宋体" w:hAnsi="宋体" w:cs="宋体"/>
          <w:color w:val="000000"/>
        </w:rPr>
        <w:t>1. 合同生效后，采购人在</w:t>
      </w:r>
      <w:r>
        <w:rPr>
          <w:rFonts w:ascii="宋体" w:hAnsi="宋体" w:cs="宋体"/>
          <w:color w:val="000000"/>
        </w:rPr>
        <w:t>15</w:t>
      </w:r>
      <w:r>
        <w:rPr>
          <w:rFonts w:hint="eastAsia" w:ascii="宋体" w:hAnsi="宋体" w:cs="宋体"/>
          <w:color w:val="000000"/>
        </w:rPr>
        <w:t>个工作日内支付中标人合同总价款20</w:t>
      </w:r>
      <w:r>
        <w:rPr>
          <w:rFonts w:ascii="宋体" w:hAnsi="宋体" w:cs="宋体"/>
          <w:color w:val="000000"/>
        </w:rPr>
        <w:t>%</w:t>
      </w:r>
      <w:r>
        <w:rPr>
          <w:rFonts w:hint="eastAsia" w:ascii="宋体" w:hAnsi="宋体" w:cs="宋体"/>
          <w:color w:val="000000"/>
        </w:rPr>
        <w:t>的首付款；</w:t>
      </w:r>
    </w:p>
    <w:p w14:paraId="402B1C75">
      <w:pPr>
        <w:widowControl/>
        <w:tabs>
          <w:tab w:val="left" w:pos="720"/>
        </w:tabs>
        <w:spacing w:line="360" w:lineRule="auto"/>
        <w:jc w:val="left"/>
        <w:rPr>
          <w:rFonts w:ascii="宋体" w:hAnsi="宋体" w:cs="宋体"/>
          <w:color w:val="000000"/>
        </w:rPr>
      </w:pPr>
      <w:r>
        <w:rPr>
          <w:rFonts w:ascii="宋体" w:hAnsi="宋体" w:cs="宋体"/>
          <w:color w:val="000000"/>
        </w:rPr>
        <w:t>2.</w:t>
      </w:r>
      <w:r>
        <w:rPr>
          <w:rFonts w:hint="eastAsia" w:ascii="宋体" w:hAnsi="宋体" w:cs="宋体"/>
          <w:color w:val="000000"/>
        </w:rPr>
        <w:t xml:space="preserve"> 提交《项目建议书》（初稿）后</w:t>
      </w:r>
      <w:r>
        <w:rPr>
          <w:rFonts w:ascii="宋体" w:hAnsi="宋体" w:cs="宋体"/>
          <w:color w:val="000000"/>
        </w:rPr>
        <w:t>10</w:t>
      </w:r>
      <w:r>
        <w:rPr>
          <w:rFonts w:hint="eastAsia" w:ascii="宋体" w:hAnsi="宋体" w:cs="宋体"/>
          <w:color w:val="000000"/>
        </w:rPr>
        <w:t>个工作日内，采购人向中标人支付合同总价款的20</w:t>
      </w:r>
      <w:r>
        <w:rPr>
          <w:rFonts w:ascii="宋体" w:hAnsi="宋体" w:cs="宋体"/>
          <w:color w:val="000000"/>
        </w:rPr>
        <w:t>%</w:t>
      </w:r>
      <w:r>
        <w:rPr>
          <w:rFonts w:hint="eastAsia" w:ascii="宋体" w:hAnsi="宋体" w:cs="宋体"/>
          <w:color w:val="000000"/>
        </w:rPr>
        <w:t>。《项目建议书》获得批复后，采购人向中标人支付合同总价款的20</w:t>
      </w:r>
      <w:r>
        <w:rPr>
          <w:rFonts w:ascii="宋体" w:hAnsi="宋体" w:cs="宋体"/>
          <w:color w:val="000000"/>
        </w:rPr>
        <w:t>%</w:t>
      </w:r>
      <w:r>
        <w:rPr>
          <w:rFonts w:hint="eastAsia" w:ascii="宋体" w:hAnsi="宋体" w:cs="宋体"/>
          <w:color w:val="000000"/>
        </w:rPr>
        <w:t>。如《项目建议书》无法获得批复，不支付相应费用；</w:t>
      </w:r>
    </w:p>
    <w:p w14:paraId="1DE0BD48">
      <w:pPr>
        <w:widowControl/>
        <w:tabs>
          <w:tab w:val="left" w:pos="720"/>
        </w:tabs>
        <w:spacing w:line="360" w:lineRule="auto"/>
        <w:jc w:val="left"/>
        <w:rPr>
          <w:rFonts w:ascii="宋体" w:hAnsi="宋体" w:cs="宋体"/>
          <w:color w:val="000000"/>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 xml:space="preserve"> 提交《可行性研究报告》（初稿）后</w:t>
      </w:r>
      <w:r>
        <w:rPr>
          <w:rFonts w:ascii="宋体" w:hAnsi="宋体" w:cs="宋体"/>
          <w:color w:val="000000"/>
        </w:rPr>
        <w:t>10</w:t>
      </w:r>
      <w:r>
        <w:rPr>
          <w:rFonts w:hint="eastAsia" w:ascii="宋体" w:hAnsi="宋体" w:cs="宋体"/>
          <w:color w:val="000000"/>
        </w:rPr>
        <w:t>个工作日内，采购人向中标人支付合同总价款的30</w:t>
      </w:r>
      <w:r>
        <w:rPr>
          <w:rFonts w:ascii="宋体" w:hAnsi="宋体" w:cs="宋体"/>
          <w:color w:val="000000"/>
        </w:rPr>
        <w:t>%</w:t>
      </w:r>
      <w:r>
        <w:rPr>
          <w:rFonts w:hint="eastAsia" w:ascii="宋体" w:hAnsi="宋体" w:cs="宋体"/>
          <w:color w:val="000000"/>
        </w:rPr>
        <w:t>。《可行性研究报告》获得批复后，采购人向中标人支付合同总价款的10</w:t>
      </w:r>
      <w:r>
        <w:rPr>
          <w:rFonts w:ascii="宋体" w:hAnsi="宋体" w:cs="宋体"/>
          <w:color w:val="000000"/>
        </w:rPr>
        <w:t>%</w:t>
      </w:r>
      <w:r>
        <w:rPr>
          <w:rFonts w:hint="eastAsia" w:ascii="宋体" w:hAnsi="宋体" w:cs="宋体"/>
          <w:color w:val="000000"/>
        </w:rPr>
        <w:t>。如《可行性研究报告》无法获得批复，不支付相应费用。</w:t>
      </w:r>
    </w:p>
    <w:p w14:paraId="14239673">
      <w:pPr>
        <w:widowControl/>
        <w:tabs>
          <w:tab w:val="left" w:pos="720"/>
        </w:tabs>
        <w:spacing w:line="360" w:lineRule="auto"/>
        <w:jc w:val="left"/>
        <w:rPr>
          <w:rFonts w:ascii="宋体" w:hAnsi="宋体" w:cs="宋体"/>
          <w:color w:val="000000"/>
        </w:rPr>
      </w:pPr>
    </w:p>
    <w:p w14:paraId="3B3D7F6D">
      <w:pPr>
        <w:widowControl/>
        <w:tabs>
          <w:tab w:val="left" w:pos="720"/>
        </w:tabs>
        <w:spacing w:line="360" w:lineRule="auto"/>
        <w:jc w:val="left"/>
        <w:rPr>
          <w:rFonts w:ascii="宋体" w:hAnsi="宋体" w:cs="宋体"/>
          <w:color w:val="000000"/>
        </w:rPr>
      </w:pPr>
    </w:p>
    <w:p w14:paraId="0284F61C">
      <w:pPr>
        <w:widowControl/>
        <w:tabs>
          <w:tab w:val="left" w:pos="720"/>
        </w:tabs>
        <w:spacing w:line="360" w:lineRule="auto"/>
        <w:jc w:val="left"/>
        <w:rPr>
          <w:rFonts w:ascii="宋体" w:hAnsi="宋体" w:cs="宋体"/>
          <w:color w:val="000000"/>
        </w:rPr>
      </w:pPr>
    </w:p>
    <w:p w14:paraId="5869C437">
      <w:pPr>
        <w:autoSpaceDE w:val="0"/>
        <w:autoSpaceDN w:val="0"/>
        <w:spacing w:line="360" w:lineRule="auto"/>
        <w:rPr>
          <w:rFonts w:ascii="宋体" w:hAnsi="宋体"/>
          <w:color w:val="FF0000"/>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49369"/>
    <w:multiLevelType w:val="singleLevel"/>
    <w:tmpl w:val="5BA49369"/>
    <w:lvl w:ilvl="0" w:tentative="0">
      <w:start w:val="1"/>
      <w:numFmt w:val="decimal"/>
      <w:lvlText w:val="%1)"/>
      <w:lvlJc w:val="left"/>
      <w:pPr>
        <w:ind w:left="425" w:hanging="425"/>
      </w:pPr>
      <w:rPr>
        <w:rFonts w:hint="default" w:cs="Times New Roman"/>
      </w:rPr>
    </w:lvl>
  </w:abstractNum>
  <w:abstractNum w:abstractNumId="1">
    <w:nsid w:val="5BA4999F"/>
    <w:multiLevelType w:val="singleLevel"/>
    <w:tmpl w:val="5BA4999F"/>
    <w:lvl w:ilvl="0" w:tentative="0">
      <w:start w:val="1"/>
      <w:numFmt w:val="decimal"/>
      <w:lvlText w:val="%1)"/>
      <w:lvlJc w:val="left"/>
      <w:pPr>
        <w:ind w:left="425" w:hanging="425"/>
      </w:pPr>
      <w:rPr>
        <w:rFonts w:hint="default" w:cs="Times New Roman"/>
      </w:rPr>
    </w:lvl>
  </w:abstractNum>
  <w:abstractNum w:abstractNumId="2">
    <w:nsid w:val="5BA499BC"/>
    <w:multiLevelType w:val="singleLevel"/>
    <w:tmpl w:val="5BA499BC"/>
    <w:lvl w:ilvl="0" w:tentative="0">
      <w:start w:val="1"/>
      <w:numFmt w:val="lowerLetter"/>
      <w:lvlText w:val="%1."/>
      <w:lvlJc w:val="left"/>
      <w:pPr>
        <w:ind w:left="425" w:hanging="425"/>
      </w:pPr>
      <w:rPr>
        <w:rFonts w:hint="default" w:cs="Times New Roman"/>
      </w:rPr>
    </w:lvl>
  </w:abstractNum>
  <w:abstractNum w:abstractNumId="3">
    <w:nsid w:val="5BA49A16"/>
    <w:multiLevelType w:val="singleLevel"/>
    <w:tmpl w:val="5BA49A16"/>
    <w:lvl w:ilvl="0" w:tentative="0">
      <w:start w:val="1"/>
      <w:numFmt w:val="decimal"/>
      <w:lvlText w:val="%1)"/>
      <w:lvlJc w:val="left"/>
      <w:pPr>
        <w:ind w:left="425" w:hanging="425"/>
      </w:pPr>
      <w:rPr>
        <w:rFonts w:hint="default"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MGY3OGFlMzhlN2I3ZDQyYTRhMTA4OTEwM2EwYmMifQ=="/>
  </w:docVars>
  <w:rsids>
    <w:rsidRoot w:val="527835DA"/>
    <w:rsid w:val="001D0605"/>
    <w:rsid w:val="00C3502F"/>
    <w:rsid w:val="00F91D2F"/>
    <w:rsid w:val="10A6675D"/>
    <w:rsid w:val="310F5519"/>
    <w:rsid w:val="350471F1"/>
    <w:rsid w:val="3D3F66AE"/>
    <w:rsid w:val="3D4C1C28"/>
    <w:rsid w:val="43C02E3F"/>
    <w:rsid w:val="46F41921"/>
    <w:rsid w:val="527835DA"/>
    <w:rsid w:val="60972ECC"/>
    <w:rsid w:val="68B84E9C"/>
    <w:rsid w:val="74671B04"/>
    <w:rsid w:val="7A72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宋体" w:hAnsi="宋体"/>
      <w:sz w:val="28"/>
    </w:rPr>
  </w:style>
  <w:style w:type="paragraph" w:styleId="3">
    <w:name w:val="annotation text"/>
    <w:basedOn w:val="1"/>
    <w:qFormat/>
    <w:uiPriority w:val="0"/>
    <w:pPr>
      <w:jc w:val="left"/>
    </w:pPr>
  </w:style>
  <w:style w:type="paragraph" w:styleId="4">
    <w:name w:val="toc 1"/>
    <w:basedOn w:val="1"/>
    <w:next w:val="1"/>
    <w:qFormat/>
    <w:uiPriority w:val="0"/>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2773</Words>
  <Characters>2837</Characters>
  <Lines>20</Lines>
  <Paragraphs>5</Paragraphs>
  <TotalTime>13</TotalTime>
  <ScaleCrop>false</ScaleCrop>
  <LinksUpToDate>false</LinksUpToDate>
  <CharactersWithSpaces>2860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2025-03-04T07:23:00Z</dcterms:created>
  <dc:creator>谭盛102</dc:creator>
  <cp:lastModifiedBy>冯治中</cp:lastModifiedBy>
  <dcterms:modified xsi:type="dcterms:W3CDTF">2025-03-10T02:00:08Z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7F84BCF0B1FD4A0BA9374751DA79C3EE_13</vt:lpwstr>
  </property>
  <property fmtid="{D5CDD505-2E9C-101B-9397-08002B2CF9AE}" pid="4" name="KSOTemplateDocerSaveRecord">
    <vt:lpwstr>eyJoZGlkIjoiODNmNmZkYThjNzZhZmFmOWVhMjE5MmJmYzQ4NGRhNTYiLCJ1c2VySWQiOiI3NDI3ODMzNzYifQ==</vt:lpwstr>
  </property>
</Properties>
</file>